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6A015" w14:textId="1F7E27AF" w:rsidR="00EC23B3" w:rsidRPr="003761A6" w:rsidRDefault="00852394" w:rsidP="008E4C6E">
      <w:pPr>
        <w:spacing w:after="120"/>
        <w:jc w:val="center"/>
        <w:rPr>
          <w:color w:val="00B050"/>
        </w:rPr>
      </w:pPr>
      <w:bookmarkStart w:id="0" w:name="_GoBack"/>
      <w:bookmarkEnd w:id="0"/>
      <w:r w:rsidRPr="003761A6">
        <w:rPr>
          <w:color w:val="00B050"/>
        </w:rPr>
        <w:t>Introduction</w:t>
      </w:r>
    </w:p>
    <w:p w14:paraId="679A7DE5" w14:textId="77777777" w:rsidR="006F0271" w:rsidRPr="003761A6" w:rsidRDefault="009868C7" w:rsidP="008B0E57">
      <w:pPr>
        <w:spacing w:after="120"/>
        <w:ind w:right="-36"/>
        <w:rPr>
          <w:color w:val="000000" w:themeColor="text1"/>
          <w:sz w:val="16"/>
          <w:szCs w:val="16"/>
        </w:rPr>
      </w:pPr>
      <w:r w:rsidRPr="003761A6">
        <w:rPr>
          <w:color w:val="000000" w:themeColor="text1"/>
          <w:sz w:val="16"/>
          <w:szCs w:val="16"/>
        </w:rPr>
        <w:t xml:space="preserve">Electronic Funds Transfer (EFT) is your safe and low-cost alternative to accepting virtual credit cards (VCCs) or paper checks for claim payments.  Some third-party payers are using VCCs as a way to reduce their administrative expenses.  Your ADA is against VCCs as they </w:t>
      </w:r>
      <w:r w:rsidR="006F0271" w:rsidRPr="003761A6">
        <w:rPr>
          <w:color w:val="000000" w:themeColor="text1"/>
          <w:sz w:val="16"/>
          <w:szCs w:val="16"/>
        </w:rPr>
        <w:t>result in a dentist having to pay to get paid, much more so than if the reimbursement is made by EFT.</w:t>
      </w:r>
    </w:p>
    <w:p w14:paraId="75054A54" w14:textId="77777777" w:rsidR="004E26EC" w:rsidRPr="003761A6" w:rsidRDefault="006F0271" w:rsidP="008B0E57">
      <w:pPr>
        <w:spacing w:after="120"/>
        <w:ind w:right="-36"/>
        <w:rPr>
          <w:color w:val="000000" w:themeColor="text1"/>
          <w:sz w:val="16"/>
          <w:szCs w:val="16"/>
        </w:rPr>
      </w:pPr>
      <w:r w:rsidRPr="003761A6">
        <w:rPr>
          <w:color w:val="000000" w:themeColor="text1"/>
          <w:sz w:val="16"/>
          <w:szCs w:val="16"/>
        </w:rPr>
        <w:t>How much more comes out of a dentist’s pocket?  For the VCC there is the merchant fee</w:t>
      </w:r>
      <w:r w:rsidR="004E26EC" w:rsidRPr="003761A6">
        <w:rPr>
          <w:color w:val="000000" w:themeColor="text1"/>
          <w:sz w:val="16"/>
          <w:szCs w:val="16"/>
        </w:rPr>
        <w:t xml:space="preserve"> (usually 2-3%)</w:t>
      </w:r>
      <w:r w:rsidRPr="003761A6">
        <w:rPr>
          <w:color w:val="000000" w:themeColor="text1"/>
          <w:sz w:val="16"/>
          <w:szCs w:val="16"/>
        </w:rPr>
        <w:t xml:space="preserve"> you incur when you accept any credit card (e.g., patient payment) and a transaction fee</w:t>
      </w:r>
      <w:r w:rsidR="004E26EC" w:rsidRPr="003761A6">
        <w:rPr>
          <w:color w:val="000000" w:themeColor="text1"/>
          <w:sz w:val="16"/>
          <w:szCs w:val="16"/>
        </w:rPr>
        <w:t xml:space="preserve"> (usually $0.10).  A $1000.00 claim reimbursement by VCC will cost $20.10 (2% merchant fee + $0.10 transaction fee).  The same reimbursement via EFT would cost you $0.34 – a savings to you of nearly $20.</w:t>
      </w:r>
    </w:p>
    <w:p w14:paraId="479805A2" w14:textId="3407D985" w:rsidR="007316BB" w:rsidRPr="003761A6" w:rsidRDefault="004E26EC" w:rsidP="008B0E57">
      <w:pPr>
        <w:spacing w:after="120"/>
        <w:ind w:right="-36"/>
        <w:rPr>
          <w:color w:val="000000" w:themeColor="text1"/>
          <w:sz w:val="16"/>
          <w:szCs w:val="16"/>
        </w:rPr>
      </w:pPr>
      <w:r w:rsidRPr="003761A6">
        <w:rPr>
          <w:color w:val="000000" w:themeColor="text1"/>
          <w:sz w:val="16"/>
          <w:szCs w:val="16"/>
        </w:rPr>
        <w:t xml:space="preserve">These numbers speak for themselves, which is why EFT is the best way </w:t>
      </w:r>
      <w:r w:rsidR="00395371" w:rsidRPr="003761A6">
        <w:rPr>
          <w:color w:val="000000" w:themeColor="text1"/>
          <w:sz w:val="16"/>
          <w:szCs w:val="16"/>
        </w:rPr>
        <w:t>to ensure s</w:t>
      </w:r>
      <w:r w:rsidR="00E34FAC" w:rsidRPr="003761A6">
        <w:rPr>
          <w:color w:val="000000" w:themeColor="text1"/>
          <w:sz w:val="16"/>
          <w:szCs w:val="16"/>
        </w:rPr>
        <w:t xml:space="preserve">ecure and </w:t>
      </w:r>
      <w:r w:rsidR="00395371" w:rsidRPr="003761A6">
        <w:rPr>
          <w:color w:val="000000" w:themeColor="text1"/>
          <w:sz w:val="16"/>
          <w:szCs w:val="16"/>
        </w:rPr>
        <w:t>t</w:t>
      </w:r>
      <w:r w:rsidR="00E34FAC" w:rsidRPr="003761A6">
        <w:rPr>
          <w:color w:val="000000" w:themeColor="text1"/>
          <w:sz w:val="16"/>
          <w:szCs w:val="16"/>
        </w:rPr>
        <w:t xml:space="preserve">imely </w:t>
      </w:r>
      <w:r w:rsidR="00395371" w:rsidRPr="003761A6">
        <w:rPr>
          <w:color w:val="000000" w:themeColor="text1"/>
          <w:sz w:val="16"/>
          <w:szCs w:val="16"/>
        </w:rPr>
        <w:t>c</w:t>
      </w:r>
      <w:r w:rsidR="00E34FAC" w:rsidRPr="003761A6">
        <w:rPr>
          <w:color w:val="000000" w:themeColor="text1"/>
          <w:sz w:val="16"/>
          <w:szCs w:val="16"/>
        </w:rPr>
        <w:t xml:space="preserve">laim </w:t>
      </w:r>
      <w:r w:rsidR="00395371" w:rsidRPr="003761A6">
        <w:rPr>
          <w:color w:val="000000" w:themeColor="text1"/>
          <w:sz w:val="16"/>
          <w:szCs w:val="16"/>
        </w:rPr>
        <w:t>p</w:t>
      </w:r>
      <w:r w:rsidR="00E34FAC" w:rsidRPr="003761A6">
        <w:rPr>
          <w:color w:val="000000" w:themeColor="text1"/>
          <w:sz w:val="16"/>
          <w:szCs w:val="16"/>
        </w:rPr>
        <w:t>ayments</w:t>
      </w:r>
      <w:r w:rsidR="00395371" w:rsidRPr="003761A6">
        <w:rPr>
          <w:color w:val="000000" w:themeColor="text1"/>
          <w:sz w:val="16"/>
          <w:szCs w:val="16"/>
        </w:rPr>
        <w:t xml:space="preserve"> from dental benefit plans.</w:t>
      </w:r>
      <w:r w:rsidRPr="003761A6">
        <w:rPr>
          <w:color w:val="000000" w:themeColor="text1"/>
          <w:sz w:val="16"/>
          <w:szCs w:val="16"/>
        </w:rPr>
        <w:t xml:space="preserve">  No high per payment fees, no worry about paper checks being misplaced or lost in the mail.</w:t>
      </w:r>
      <w:r w:rsidR="007316BB" w:rsidRPr="003761A6">
        <w:rPr>
          <w:color w:val="000000" w:themeColor="text1"/>
          <w:sz w:val="16"/>
          <w:szCs w:val="16"/>
        </w:rPr>
        <w:t xml:space="preserve">  Each EFT uses the automated clearinghouse (ACH) transaction referred to as the “CCD+” that is a named HIPAA standard.</w:t>
      </w:r>
    </w:p>
    <w:p w14:paraId="7BDA5EB7" w14:textId="77777777" w:rsidR="00AF39AC" w:rsidRPr="003761A6" w:rsidRDefault="00AF39AC" w:rsidP="008E4C6E">
      <w:pPr>
        <w:spacing w:before="240" w:after="120"/>
        <w:jc w:val="center"/>
        <w:rPr>
          <w:color w:val="00B050"/>
        </w:rPr>
      </w:pPr>
      <w:r w:rsidRPr="003761A6">
        <w:rPr>
          <w:color w:val="00B050"/>
        </w:rPr>
        <w:t>Debunking EFT Myths</w:t>
      </w:r>
    </w:p>
    <w:p w14:paraId="037081FA" w14:textId="1B46E975" w:rsidR="00AF39AC" w:rsidRPr="00FD1DE8" w:rsidRDefault="00AF39AC" w:rsidP="00AF39AC">
      <w:pPr>
        <w:spacing w:after="120"/>
        <w:rPr>
          <w:color w:val="000000" w:themeColor="text1"/>
          <w:sz w:val="16"/>
          <w:szCs w:val="16"/>
        </w:rPr>
      </w:pPr>
      <w:r w:rsidRPr="003761A6">
        <w:rPr>
          <w:color w:val="000000" w:themeColor="text1"/>
          <w:sz w:val="16"/>
          <w:szCs w:val="16"/>
        </w:rPr>
        <w:t xml:space="preserve">Misperceptions are obstacles to EFT implementation.  There is one widespread myth that payers can require dentists to accept payment by Virtual Credit Card (VCC).  Not so.  For the full answer see the federal governments online FAQ: </w:t>
      </w:r>
      <w:hyperlink r:id="rId13" w:history="1">
        <w:r w:rsidR="0068170A" w:rsidRPr="00FD1DE8">
          <w:rPr>
            <w:rStyle w:val="Hyperlink"/>
            <w:sz w:val="16"/>
            <w:szCs w:val="16"/>
          </w:rPr>
          <w:t>Virtual Credit Cards (VCCs) and Electronic Funds Transfers (EFT) Guidance Letter (cms.gov)</w:t>
        </w:r>
      </w:hyperlink>
      <w:r w:rsidR="0068170A" w:rsidRPr="00FD1DE8">
        <w:rPr>
          <w:sz w:val="16"/>
          <w:szCs w:val="16"/>
        </w:rPr>
        <w:t xml:space="preserve">  </w:t>
      </w:r>
    </w:p>
    <w:p w14:paraId="4C437386" w14:textId="51CC31D8" w:rsidR="006B7C16" w:rsidRPr="003761A6" w:rsidRDefault="006B7C16" w:rsidP="008E4C6E">
      <w:pPr>
        <w:spacing w:before="240" w:after="120"/>
        <w:ind w:right="-43"/>
        <w:jc w:val="center"/>
        <w:rPr>
          <w:color w:val="00B050"/>
        </w:rPr>
      </w:pPr>
      <w:r w:rsidRPr="003761A6">
        <w:rPr>
          <w:color w:val="00B050"/>
        </w:rPr>
        <w:t>Make It Happen</w:t>
      </w:r>
    </w:p>
    <w:p w14:paraId="129291E1" w14:textId="0FB75D5D" w:rsidR="00E34FAC" w:rsidRPr="003761A6" w:rsidRDefault="00395371" w:rsidP="008B0E57">
      <w:pPr>
        <w:spacing w:after="120"/>
        <w:ind w:right="-36"/>
        <w:rPr>
          <w:color w:val="000000" w:themeColor="text1"/>
          <w:sz w:val="16"/>
          <w:szCs w:val="16"/>
        </w:rPr>
      </w:pPr>
      <w:r w:rsidRPr="003761A6">
        <w:rPr>
          <w:color w:val="000000" w:themeColor="text1"/>
          <w:sz w:val="16"/>
          <w:szCs w:val="16"/>
        </w:rPr>
        <w:lastRenderedPageBreak/>
        <w:t xml:space="preserve">There is not a single path leading to successful EFT implementation.  Every dental practice can determine the way to accept and process standard electronic claim payments that best fits </w:t>
      </w:r>
      <w:r w:rsidR="00AB2116" w:rsidRPr="003761A6">
        <w:rPr>
          <w:color w:val="000000" w:themeColor="text1"/>
          <w:sz w:val="16"/>
          <w:szCs w:val="16"/>
        </w:rPr>
        <w:t>its</w:t>
      </w:r>
      <w:r w:rsidRPr="003761A6">
        <w:rPr>
          <w:color w:val="000000" w:themeColor="text1"/>
          <w:sz w:val="16"/>
          <w:szCs w:val="16"/>
        </w:rPr>
        <w:t xml:space="preserve"> own business needs.  Although th</w:t>
      </w:r>
      <w:r w:rsidR="00AC36AE" w:rsidRPr="003761A6">
        <w:rPr>
          <w:color w:val="000000" w:themeColor="text1"/>
          <w:sz w:val="16"/>
          <w:szCs w:val="16"/>
        </w:rPr>
        <w:t xml:space="preserve">ese paths may differ, the following </w:t>
      </w:r>
      <w:r w:rsidR="002D4D78">
        <w:rPr>
          <w:color w:val="000000" w:themeColor="text1"/>
          <w:sz w:val="16"/>
          <w:szCs w:val="16"/>
        </w:rPr>
        <w:t>multi</w:t>
      </w:r>
      <w:r w:rsidR="00FB1F8F" w:rsidRPr="003761A6">
        <w:rPr>
          <w:color w:val="000000" w:themeColor="text1"/>
          <w:sz w:val="16"/>
          <w:szCs w:val="16"/>
        </w:rPr>
        <w:t xml:space="preserve">-part </w:t>
      </w:r>
      <w:r w:rsidR="00AC36AE" w:rsidRPr="003761A6">
        <w:rPr>
          <w:color w:val="000000" w:themeColor="text1"/>
          <w:sz w:val="16"/>
          <w:szCs w:val="16"/>
        </w:rPr>
        <w:t>checklist identifies decisions and actions that are common to all.</w:t>
      </w:r>
    </w:p>
    <w:p w14:paraId="24E4168C" w14:textId="45DEF004" w:rsidR="005B4E9B" w:rsidRPr="003761A6" w:rsidRDefault="007316BB" w:rsidP="008E4C6E">
      <w:pPr>
        <w:spacing w:before="240" w:after="120"/>
        <w:jc w:val="center"/>
        <w:rPr>
          <w:color w:val="00B050"/>
        </w:rPr>
      </w:pPr>
      <w:r w:rsidRPr="003761A6">
        <w:rPr>
          <w:color w:val="00B050"/>
        </w:rPr>
        <w:t>Part 1 – C</w:t>
      </w:r>
      <w:r w:rsidR="005B4E9B" w:rsidRPr="003761A6">
        <w:rPr>
          <w:color w:val="00B050"/>
        </w:rPr>
        <w:t>omplete Your Research</w:t>
      </w:r>
    </w:p>
    <w:tbl>
      <w:tblPr>
        <w:tblStyle w:val="TableGrid"/>
        <w:tblW w:w="10458" w:type="dxa"/>
        <w:tblInd w:w="-113" w:type="dxa"/>
        <w:tblLook w:val="04A0" w:firstRow="1" w:lastRow="0" w:firstColumn="1" w:lastColumn="0" w:noHBand="0" w:noVBand="1"/>
      </w:tblPr>
      <w:tblGrid>
        <w:gridCol w:w="445"/>
        <w:gridCol w:w="727"/>
        <w:gridCol w:w="3436"/>
        <w:gridCol w:w="5850"/>
      </w:tblGrid>
      <w:tr w:rsidR="005B4E9B" w:rsidRPr="003761A6" w14:paraId="097FE171" w14:textId="77777777" w:rsidTr="00AB0AE1">
        <w:tc>
          <w:tcPr>
            <w:tcW w:w="445" w:type="dxa"/>
            <w:shd w:val="clear" w:color="auto" w:fill="D9D9D9" w:themeFill="background1" w:themeFillShade="D9"/>
            <w:vAlign w:val="center"/>
          </w:tcPr>
          <w:p w14:paraId="5D41C80F" w14:textId="77777777" w:rsidR="005B4E9B" w:rsidRPr="003761A6" w:rsidRDefault="005B4E9B" w:rsidP="003F5056">
            <w:pPr>
              <w:spacing w:before="60" w:after="60"/>
              <w:jc w:val="center"/>
              <w:rPr>
                <w:color w:val="000000" w:themeColor="text1"/>
                <w:sz w:val="16"/>
                <w:szCs w:val="16"/>
              </w:rPr>
            </w:pPr>
            <w:r w:rsidRPr="003761A6">
              <w:rPr>
                <w:color w:val="000000" w:themeColor="text1"/>
                <w:sz w:val="16"/>
                <w:szCs w:val="16"/>
              </w:rPr>
              <w:t>#</w:t>
            </w:r>
          </w:p>
        </w:tc>
        <w:tc>
          <w:tcPr>
            <w:tcW w:w="727" w:type="dxa"/>
            <w:shd w:val="clear" w:color="auto" w:fill="D9D9D9" w:themeFill="background1" w:themeFillShade="D9"/>
            <w:vAlign w:val="center"/>
          </w:tcPr>
          <w:p w14:paraId="3FA4C110" w14:textId="77777777" w:rsidR="005B4E9B" w:rsidRPr="003761A6" w:rsidRDefault="005B4E9B" w:rsidP="003F5056">
            <w:pPr>
              <w:spacing w:before="60" w:after="60"/>
              <w:jc w:val="center"/>
              <w:rPr>
                <w:color w:val="000000" w:themeColor="text1"/>
                <w:sz w:val="16"/>
                <w:szCs w:val="16"/>
              </w:rPr>
            </w:pPr>
            <w:r w:rsidRPr="003761A6">
              <w:rPr>
                <w:color w:val="000000" w:themeColor="text1"/>
                <w:sz w:val="16"/>
                <w:szCs w:val="16"/>
              </w:rPr>
              <w:t>Check</w:t>
            </w:r>
          </w:p>
        </w:tc>
        <w:tc>
          <w:tcPr>
            <w:tcW w:w="3436" w:type="dxa"/>
            <w:shd w:val="clear" w:color="auto" w:fill="D9D9D9" w:themeFill="background1" w:themeFillShade="D9"/>
            <w:vAlign w:val="center"/>
          </w:tcPr>
          <w:p w14:paraId="2E8F65F2" w14:textId="77777777" w:rsidR="005B4E9B" w:rsidRPr="003761A6" w:rsidRDefault="005B4E9B" w:rsidP="003F5056">
            <w:pPr>
              <w:spacing w:before="60" w:after="60"/>
              <w:jc w:val="center"/>
              <w:rPr>
                <w:color w:val="000000" w:themeColor="text1"/>
                <w:sz w:val="16"/>
                <w:szCs w:val="16"/>
              </w:rPr>
            </w:pPr>
            <w:r w:rsidRPr="003761A6">
              <w:rPr>
                <w:color w:val="000000" w:themeColor="text1"/>
                <w:sz w:val="16"/>
                <w:szCs w:val="16"/>
              </w:rPr>
              <w:t>Action</w:t>
            </w:r>
          </w:p>
        </w:tc>
        <w:tc>
          <w:tcPr>
            <w:tcW w:w="5850" w:type="dxa"/>
            <w:shd w:val="clear" w:color="auto" w:fill="D9D9D9" w:themeFill="background1" w:themeFillShade="D9"/>
            <w:vAlign w:val="center"/>
          </w:tcPr>
          <w:p w14:paraId="4E46B44E" w14:textId="3B83077C" w:rsidR="005B4E9B" w:rsidRPr="003761A6" w:rsidRDefault="000C5EDC" w:rsidP="003F5056">
            <w:pPr>
              <w:spacing w:before="60" w:after="60"/>
              <w:jc w:val="center"/>
              <w:rPr>
                <w:color w:val="000000" w:themeColor="text1"/>
                <w:sz w:val="16"/>
                <w:szCs w:val="16"/>
              </w:rPr>
            </w:pPr>
            <w:r>
              <w:rPr>
                <w:color w:val="000000" w:themeColor="text1"/>
                <w:sz w:val="16"/>
                <w:szCs w:val="16"/>
              </w:rPr>
              <w:t>Why This Will Help You</w:t>
            </w:r>
          </w:p>
        </w:tc>
      </w:tr>
      <w:tr w:rsidR="005B4E9B" w:rsidRPr="003761A6" w14:paraId="57621292" w14:textId="77777777" w:rsidTr="00AB0AE1">
        <w:tc>
          <w:tcPr>
            <w:tcW w:w="445" w:type="dxa"/>
            <w:vAlign w:val="center"/>
          </w:tcPr>
          <w:p w14:paraId="09F85C02" w14:textId="77777777" w:rsidR="005B4E9B" w:rsidRPr="003761A6" w:rsidRDefault="005B4E9B" w:rsidP="00813CC4">
            <w:pPr>
              <w:pStyle w:val="ListParagraph"/>
              <w:numPr>
                <w:ilvl w:val="0"/>
                <w:numId w:val="17"/>
              </w:numPr>
              <w:spacing w:before="120" w:after="120"/>
              <w:ind w:left="360"/>
              <w:rPr>
                <w:color w:val="000000" w:themeColor="text1"/>
                <w:sz w:val="16"/>
                <w:szCs w:val="16"/>
              </w:rPr>
            </w:pPr>
          </w:p>
        </w:tc>
        <w:sdt>
          <w:sdtPr>
            <w:rPr>
              <w:color w:val="000000" w:themeColor="text1"/>
              <w:sz w:val="16"/>
              <w:szCs w:val="16"/>
            </w:rPr>
            <w:id w:val="-388501107"/>
            <w14:checkbox>
              <w14:checked w14:val="0"/>
              <w14:checkedState w14:val="2612" w14:font="MS Gothic"/>
              <w14:uncheckedState w14:val="2610" w14:font="MS Gothic"/>
            </w14:checkbox>
          </w:sdtPr>
          <w:sdtEndPr/>
          <w:sdtContent>
            <w:tc>
              <w:tcPr>
                <w:tcW w:w="727" w:type="dxa"/>
                <w:vAlign w:val="center"/>
              </w:tcPr>
              <w:p w14:paraId="17EE75CC" w14:textId="77777777" w:rsidR="005B4E9B" w:rsidRPr="003761A6" w:rsidRDefault="005B4E9B" w:rsidP="00813CC4">
                <w:pPr>
                  <w:spacing w:before="120" w:after="120"/>
                  <w:jc w:val="center"/>
                  <w:rPr>
                    <w:color w:val="000000" w:themeColor="text1"/>
                    <w:sz w:val="16"/>
                    <w:szCs w:val="16"/>
                  </w:rPr>
                </w:pPr>
                <w:r w:rsidRPr="003761A6">
                  <w:rPr>
                    <w:rFonts w:ascii="Segoe UI Symbol" w:eastAsia="MS Gothic" w:hAnsi="Segoe UI Symbol" w:cs="Segoe UI Symbol"/>
                    <w:color w:val="000000" w:themeColor="text1"/>
                    <w:sz w:val="16"/>
                    <w:szCs w:val="16"/>
                  </w:rPr>
                  <w:t>☐</w:t>
                </w:r>
              </w:p>
            </w:tc>
          </w:sdtContent>
        </w:sdt>
        <w:tc>
          <w:tcPr>
            <w:tcW w:w="3436" w:type="dxa"/>
            <w:vAlign w:val="center"/>
          </w:tcPr>
          <w:p w14:paraId="3229C803" w14:textId="1460C9AC" w:rsidR="005B4E9B" w:rsidRPr="003761A6" w:rsidRDefault="006C4944" w:rsidP="006C4944">
            <w:pPr>
              <w:spacing w:before="120" w:after="120"/>
              <w:rPr>
                <w:color w:val="000000" w:themeColor="text1"/>
                <w:sz w:val="16"/>
                <w:szCs w:val="16"/>
              </w:rPr>
            </w:pPr>
            <w:r w:rsidRPr="003761A6">
              <w:rPr>
                <w:color w:val="000000" w:themeColor="text1"/>
                <w:sz w:val="16"/>
                <w:szCs w:val="16"/>
              </w:rPr>
              <w:t xml:space="preserve">Watch and listen to </w:t>
            </w:r>
            <w:r w:rsidR="00813CC4" w:rsidRPr="003761A6">
              <w:rPr>
                <w:color w:val="000000" w:themeColor="text1"/>
                <w:sz w:val="16"/>
                <w:szCs w:val="16"/>
              </w:rPr>
              <w:t>ADA EFT online webinar:</w:t>
            </w:r>
            <w:r w:rsidR="00813CC4" w:rsidRPr="003761A6">
              <w:rPr>
                <w:sz w:val="16"/>
                <w:szCs w:val="16"/>
              </w:rPr>
              <w:t xml:space="preserve"> </w:t>
            </w:r>
            <w:hyperlink r:id="rId14" w:history="1">
              <w:r w:rsidR="00813CC4" w:rsidRPr="00B237FF">
                <w:rPr>
                  <w:rStyle w:val="Hyperlink"/>
                  <w:sz w:val="16"/>
                  <w:szCs w:val="16"/>
                  <w:u w:val="none"/>
                </w:rPr>
                <w:t>https://success.ada.org/en/dental-benefits/electronic-funds-transfer-payments-eft-webinar-exploding-the-myth</w:t>
              </w:r>
            </w:hyperlink>
            <w:r w:rsidR="00813CC4" w:rsidRPr="003761A6">
              <w:rPr>
                <w:color w:val="000000" w:themeColor="text1"/>
                <w:sz w:val="16"/>
                <w:szCs w:val="16"/>
              </w:rPr>
              <w:t xml:space="preserve"> </w:t>
            </w:r>
          </w:p>
        </w:tc>
        <w:tc>
          <w:tcPr>
            <w:tcW w:w="5850" w:type="dxa"/>
            <w:vAlign w:val="center"/>
          </w:tcPr>
          <w:p w14:paraId="07EAD7B6" w14:textId="38C86C9B" w:rsidR="005B4E9B" w:rsidRPr="003761A6" w:rsidRDefault="00952E3E" w:rsidP="00952E3E">
            <w:pPr>
              <w:spacing w:before="120" w:after="120"/>
              <w:rPr>
                <w:color w:val="000000" w:themeColor="text1"/>
                <w:sz w:val="16"/>
                <w:szCs w:val="16"/>
              </w:rPr>
            </w:pPr>
            <w:r w:rsidRPr="003761A6">
              <w:rPr>
                <w:color w:val="000000" w:themeColor="text1"/>
                <w:sz w:val="16"/>
                <w:szCs w:val="16"/>
              </w:rPr>
              <w:t xml:space="preserve">“Electronic Funds Transfer (EFT) Payments – Exploding the Myths” provides </w:t>
            </w:r>
            <w:r w:rsidR="00813CC4" w:rsidRPr="003761A6">
              <w:rPr>
                <w:color w:val="000000" w:themeColor="text1"/>
                <w:sz w:val="16"/>
                <w:szCs w:val="16"/>
              </w:rPr>
              <w:t>background and context for EFT implementation</w:t>
            </w:r>
          </w:p>
        </w:tc>
      </w:tr>
      <w:tr w:rsidR="005B4E9B" w:rsidRPr="003761A6" w14:paraId="3ECF9740" w14:textId="77777777" w:rsidTr="00AB0AE1">
        <w:tc>
          <w:tcPr>
            <w:tcW w:w="445" w:type="dxa"/>
            <w:vAlign w:val="center"/>
          </w:tcPr>
          <w:p w14:paraId="686F4061" w14:textId="77777777" w:rsidR="005B4E9B" w:rsidRPr="003761A6" w:rsidRDefault="005B4E9B" w:rsidP="00813CC4">
            <w:pPr>
              <w:pStyle w:val="ListParagraph"/>
              <w:numPr>
                <w:ilvl w:val="0"/>
                <w:numId w:val="17"/>
              </w:numPr>
              <w:spacing w:before="120" w:after="120"/>
              <w:ind w:left="360"/>
              <w:rPr>
                <w:color w:val="000000" w:themeColor="text1"/>
                <w:sz w:val="16"/>
                <w:szCs w:val="16"/>
              </w:rPr>
            </w:pPr>
          </w:p>
        </w:tc>
        <w:sdt>
          <w:sdtPr>
            <w:rPr>
              <w:color w:val="000000" w:themeColor="text1"/>
              <w:sz w:val="16"/>
              <w:szCs w:val="16"/>
            </w:rPr>
            <w:id w:val="559214667"/>
            <w14:checkbox>
              <w14:checked w14:val="0"/>
              <w14:checkedState w14:val="2612" w14:font="MS Gothic"/>
              <w14:uncheckedState w14:val="2610" w14:font="MS Gothic"/>
            </w14:checkbox>
          </w:sdtPr>
          <w:sdtEndPr/>
          <w:sdtContent>
            <w:tc>
              <w:tcPr>
                <w:tcW w:w="727" w:type="dxa"/>
                <w:vAlign w:val="center"/>
              </w:tcPr>
              <w:p w14:paraId="0F05C52C" w14:textId="6AD810CF" w:rsidR="005B4E9B" w:rsidRPr="003761A6" w:rsidRDefault="00952E3E" w:rsidP="00813CC4">
                <w:pPr>
                  <w:spacing w:before="120" w:after="120"/>
                  <w:jc w:val="center"/>
                  <w:rPr>
                    <w:color w:val="000000" w:themeColor="text1"/>
                    <w:sz w:val="16"/>
                    <w:szCs w:val="16"/>
                  </w:rPr>
                </w:pPr>
                <w:r w:rsidRPr="003761A6">
                  <w:rPr>
                    <w:rFonts w:ascii="Segoe UI Symbol" w:eastAsia="MS Gothic" w:hAnsi="Segoe UI Symbol" w:cs="Segoe UI Symbol"/>
                    <w:color w:val="000000" w:themeColor="text1"/>
                    <w:sz w:val="16"/>
                    <w:szCs w:val="16"/>
                  </w:rPr>
                  <w:t>☐</w:t>
                </w:r>
              </w:p>
            </w:tc>
          </w:sdtContent>
        </w:sdt>
        <w:tc>
          <w:tcPr>
            <w:tcW w:w="3436" w:type="dxa"/>
            <w:vAlign w:val="center"/>
          </w:tcPr>
          <w:p w14:paraId="6B69ED18" w14:textId="6E5007F6" w:rsidR="00952E3E" w:rsidRPr="003761A6" w:rsidRDefault="006C4944" w:rsidP="006C4944">
            <w:pPr>
              <w:spacing w:before="120" w:after="120"/>
              <w:rPr>
                <w:color w:val="000000" w:themeColor="text1"/>
                <w:sz w:val="16"/>
                <w:szCs w:val="16"/>
              </w:rPr>
            </w:pPr>
            <w:r w:rsidRPr="003761A6">
              <w:rPr>
                <w:color w:val="000000" w:themeColor="text1"/>
                <w:sz w:val="16"/>
                <w:szCs w:val="16"/>
              </w:rPr>
              <w:t>Read</w:t>
            </w:r>
            <w:r w:rsidR="00952E3E" w:rsidRPr="003761A6">
              <w:rPr>
                <w:color w:val="000000" w:themeColor="text1"/>
                <w:sz w:val="16"/>
                <w:szCs w:val="16"/>
              </w:rPr>
              <w:t xml:space="preserve"> </w:t>
            </w:r>
            <w:r w:rsidRPr="003761A6">
              <w:rPr>
                <w:color w:val="000000" w:themeColor="text1"/>
                <w:sz w:val="16"/>
                <w:szCs w:val="16"/>
              </w:rPr>
              <w:t xml:space="preserve">online </w:t>
            </w:r>
            <w:r w:rsidR="005B4E9B" w:rsidRPr="003761A6">
              <w:rPr>
                <w:color w:val="000000" w:themeColor="text1"/>
                <w:sz w:val="16"/>
                <w:szCs w:val="16"/>
              </w:rPr>
              <w:t>AMA E</w:t>
            </w:r>
            <w:r w:rsidR="00952E3E" w:rsidRPr="003761A6">
              <w:rPr>
                <w:color w:val="000000" w:themeColor="text1"/>
                <w:sz w:val="16"/>
                <w:szCs w:val="16"/>
              </w:rPr>
              <w:t xml:space="preserve">lectronic Payment Toolkit: </w:t>
            </w:r>
            <w:hyperlink r:id="rId15" w:history="1">
              <w:r w:rsidR="00952E3E" w:rsidRPr="00B237FF">
                <w:rPr>
                  <w:rStyle w:val="Hyperlink"/>
                  <w:sz w:val="16"/>
                  <w:szCs w:val="16"/>
                  <w:u w:val="none"/>
                </w:rPr>
                <w:t>https://www.ama-assn.org/sites/default/files/media-browser/public/psa/eft-toolkit-full.pdf</w:t>
              </w:r>
            </w:hyperlink>
          </w:p>
        </w:tc>
        <w:tc>
          <w:tcPr>
            <w:tcW w:w="5850" w:type="dxa"/>
            <w:vAlign w:val="center"/>
          </w:tcPr>
          <w:p w14:paraId="59B98FD4" w14:textId="6F18669C" w:rsidR="005B4E9B" w:rsidRPr="003761A6" w:rsidRDefault="00952E3E" w:rsidP="00952E3E">
            <w:pPr>
              <w:spacing w:before="120" w:after="120"/>
              <w:rPr>
                <w:color w:val="000000" w:themeColor="text1"/>
                <w:sz w:val="16"/>
                <w:szCs w:val="16"/>
              </w:rPr>
            </w:pPr>
            <w:r w:rsidRPr="003761A6">
              <w:rPr>
                <w:color w:val="000000" w:themeColor="text1"/>
                <w:sz w:val="16"/>
                <w:szCs w:val="16"/>
              </w:rPr>
              <w:t>Dentists and all other healthcare practitioners face similar EFT implementation challenges – this document is both an EFT implementation primer and roadmap.</w:t>
            </w:r>
          </w:p>
        </w:tc>
      </w:tr>
      <w:tr w:rsidR="006C4944" w:rsidRPr="003761A6" w14:paraId="3C5FB988" w14:textId="77777777" w:rsidTr="00AB0AE1">
        <w:tc>
          <w:tcPr>
            <w:tcW w:w="445" w:type="dxa"/>
            <w:vAlign w:val="center"/>
          </w:tcPr>
          <w:p w14:paraId="3B9F4BDF" w14:textId="77777777" w:rsidR="006C4944" w:rsidRPr="003761A6" w:rsidRDefault="006C4944" w:rsidP="00813CC4">
            <w:pPr>
              <w:pStyle w:val="ListParagraph"/>
              <w:numPr>
                <w:ilvl w:val="0"/>
                <w:numId w:val="17"/>
              </w:numPr>
              <w:spacing w:before="120" w:after="120"/>
              <w:ind w:left="360"/>
              <w:rPr>
                <w:color w:val="000000" w:themeColor="text1"/>
                <w:sz w:val="16"/>
                <w:szCs w:val="16"/>
              </w:rPr>
            </w:pPr>
          </w:p>
        </w:tc>
        <w:sdt>
          <w:sdtPr>
            <w:rPr>
              <w:color w:val="000000" w:themeColor="text1"/>
              <w:sz w:val="16"/>
              <w:szCs w:val="16"/>
            </w:rPr>
            <w:id w:val="66308546"/>
            <w14:checkbox>
              <w14:checked w14:val="0"/>
              <w14:checkedState w14:val="2612" w14:font="MS Gothic"/>
              <w14:uncheckedState w14:val="2610" w14:font="MS Gothic"/>
            </w14:checkbox>
          </w:sdtPr>
          <w:sdtEndPr/>
          <w:sdtContent>
            <w:tc>
              <w:tcPr>
                <w:tcW w:w="727" w:type="dxa"/>
                <w:vAlign w:val="center"/>
              </w:tcPr>
              <w:p w14:paraId="692E7024" w14:textId="46B445E7" w:rsidR="006C4944" w:rsidRPr="003761A6" w:rsidRDefault="005F2A61" w:rsidP="00813CC4">
                <w:pPr>
                  <w:spacing w:before="120" w:after="120"/>
                  <w:jc w:val="center"/>
                  <w:rPr>
                    <w:color w:val="000000" w:themeColor="text1"/>
                    <w:sz w:val="16"/>
                    <w:szCs w:val="16"/>
                  </w:rPr>
                </w:pPr>
                <w:r w:rsidRPr="003761A6">
                  <w:rPr>
                    <w:rFonts w:ascii="Segoe UI Symbol" w:eastAsia="MS Gothic" w:hAnsi="Segoe UI Symbol" w:cs="Segoe UI Symbol"/>
                    <w:color w:val="000000" w:themeColor="text1"/>
                    <w:sz w:val="16"/>
                    <w:szCs w:val="16"/>
                  </w:rPr>
                  <w:t>☐</w:t>
                </w:r>
              </w:p>
            </w:tc>
          </w:sdtContent>
        </w:sdt>
        <w:tc>
          <w:tcPr>
            <w:tcW w:w="3436" w:type="dxa"/>
            <w:vAlign w:val="center"/>
          </w:tcPr>
          <w:p w14:paraId="359115E1" w14:textId="57F79C11" w:rsidR="006C4944" w:rsidRPr="003761A6" w:rsidRDefault="006C4944" w:rsidP="00461746">
            <w:pPr>
              <w:spacing w:before="120" w:after="120"/>
              <w:rPr>
                <w:color w:val="000000" w:themeColor="text1"/>
                <w:sz w:val="16"/>
                <w:szCs w:val="16"/>
              </w:rPr>
            </w:pPr>
            <w:r w:rsidRPr="003761A6">
              <w:rPr>
                <w:color w:val="000000" w:themeColor="text1"/>
                <w:sz w:val="16"/>
                <w:szCs w:val="16"/>
              </w:rPr>
              <w:t xml:space="preserve">Become familiar with EFT enrollment </w:t>
            </w:r>
            <w:r w:rsidR="00822E20" w:rsidRPr="003761A6">
              <w:rPr>
                <w:color w:val="000000" w:themeColor="text1"/>
                <w:sz w:val="16"/>
                <w:szCs w:val="16"/>
              </w:rPr>
              <w:t>processes</w:t>
            </w:r>
            <w:r w:rsidR="00461746" w:rsidRPr="003761A6">
              <w:rPr>
                <w:color w:val="000000" w:themeColor="text1"/>
                <w:sz w:val="16"/>
                <w:szCs w:val="16"/>
              </w:rPr>
              <w:t xml:space="preserve"> by contacting your Practice Management System </w:t>
            </w:r>
            <w:r w:rsidR="003761A6" w:rsidRPr="003761A6">
              <w:rPr>
                <w:color w:val="000000" w:themeColor="text1"/>
                <w:sz w:val="16"/>
                <w:szCs w:val="16"/>
              </w:rPr>
              <w:t xml:space="preserve">(PMS) </w:t>
            </w:r>
            <w:r w:rsidR="00461746" w:rsidRPr="003761A6">
              <w:rPr>
                <w:color w:val="000000" w:themeColor="text1"/>
                <w:sz w:val="16"/>
                <w:szCs w:val="16"/>
              </w:rPr>
              <w:t>vendor and your dental benefit plan provider relations staff</w:t>
            </w:r>
            <w:r w:rsidR="00822E20" w:rsidRPr="003761A6">
              <w:rPr>
                <w:color w:val="000000" w:themeColor="text1"/>
                <w:sz w:val="16"/>
                <w:szCs w:val="16"/>
              </w:rPr>
              <w:t>.</w:t>
            </w:r>
          </w:p>
        </w:tc>
        <w:tc>
          <w:tcPr>
            <w:tcW w:w="5850" w:type="dxa"/>
            <w:vAlign w:val="center"/>
          </w:tcPr>
          <w:p w14:paraId="1A013BCC" w14:textId="30CBFAA5" w:rsidR="006C4944" w:rsidRPr="003761A6" w:rsidRDefault="009F205D" w:rsidP="009F205D">
            <w:pPr>
              <w:spacing w:before="120" w:after="120"/>
              <w:rPr>
                <w:color w:val="000000" w:themeColor="text1"/>
                <w:sz w:val="16"/>
                <w:szCs w:val="16"/>
              </w:rPr>
            </w:pPr>
            <w:r w:rsidRPr="003761A6">
              <w:rPr>
                <w:color w:val="000000" w:themeColor="text1"/>
                <w:sz w:val="16"/>
                <w:szCs w:val="16"/>
              </w:rPr>
              <w:t>Some payers have proprietary enrollment processes and others work with “single source” enrollment processes (e.g., Change Healthcare; Enroll Hub)</w:t>
            </w:r>
            <w:r w:rsidR="006C4944" w:rsidRPr="003761A6">
              <w:rPr>
                <w:color w:val="000000" w:themeColor="text1"/>
                <w:sz w:val="16"/>
                <w:szCs w:val="16"/>
              </w:rPr>
              <w:t>.</w:t>
            </w:r>
            <w:r w:rsidR="000C5EDC">
              <w:rPr>
                <w:color w:val="000000" w:themeColor="text1"/>
                <w:sz w:val="16"/>
                <w:szCs w:val="16"/>
              </w:rPr>
              <w:t xml:space="preserve">  Implementing EFT via “single source” where possible will reduce your administrative efforts.</w:t>
            </w:r>
          </w:p>
        </w:tc>
      </w:tr>
    </w:tbl>
    <w:p w14:paraId="5D7E694C" w14:textId="44D94337" w:rsidR="00AC36AE" w:rsidRPr="003761A6" w:rsidRDefault="007316BB" w:rsidP="008E4C6E">
      <w:pPr>
        <w:spacing w:before="240" w:after="120"/>
        <w:jc w:val="center"/>
        <w:rPr>
          <w:color w:val="00B050"/>
        </w:rPr>
      </w:pPr>
      <w:r w:rsidRPr="003761A6">
        <w:rPr>
          <w:color w:val="00B050"/>
        </w:rPr>
        <w:t>Part 2 – Prepare Your Implementation Plan</w:t>
      </w:r>
    </w:p>
    <w:tbl>
      <w:tblPr>
        <w:tblStyle w:val="TableGrid"/>
        <w:tblW w:w="10458" w:type="dxa"/>
        <w:tblInd w:w="-113" w:type="dxa"/>
        <w:tblLook w:val="04A0" w:firstRow="1" w:lastRow="0" w:firstColumn="1" w:lastColumn="0" w:noHBand="0" w:noVBand="1"/>
      </w:tblPr>
      <w:tblGrid>
        <w:gridCol w:w="445"/>
        <w:gridCol w:w="727"/>
        <w:gridCol w:w="3436"/>
        <w:gridCol w:w="5850"/>
      </w:tblGrid>
      <w:tr w:rsidR="00FE0478" w:rsidRPr="003761A6" w14:paraId="5A3A8B12" w14:textId="77777777" w:rsidTr="00AB0AE1">
        <w:trPr>
          <w:cantSplit/>
          <w:tblHeader/>
        </w:trPr>
        <w:tc>
          <w:tcPr>
            <w:tcW w:w="445" w:type="dxa"/>
            <w:shd w:val="clear" w:color="auto" w:fill="D9D9D9" w:themeFill="background1" w:themeFillShade="D9"/>
            <w:vAlign w:val="center"/>
          </w:tcPr>
          <w:p w14:paraId="647B430A" w14:textId="75466AAA" w:rsidR="00651552" w:rsidRPr="003761A6" w:rsidRDefault="00651552" w:rsidP="003F5056">
            <w:pPr>
              <w:spacing w:before="60" w:after="60"/>
              <w:jc w:val="center"/>
              <w:rPr>
                <w:color w:val="000000" w:themeColor="text1"/>
                <w:sz w:val="16"/>
                <w:szCs w:val="16"/>
              </w:rPr>
            </w:pPr>
            <w:r w:rsidRPr="003761A6">
              <w:rPr>
                <w:color w:val="000000" w:themeColor="text1"/>
                <w:sz w:val="16"/>
                <w:szCs w:val="16"/>
              </w:rPr>
              <w:t>#</w:t>
            </w:r>
          </w:p>
        </w:tc>
        <w:tc>
          <w:tcPr>
            <w:tcW w:w="727" w:type="dxa"/>
            <w:shd w:val="clear" w:color="auto" w:fill="D9D9D9" w:themeFill="background1" w:themeFillShade="D9"/>
            <w:vAlign w:val="center"/>
          </w:tcPr>
          <w:p w14:paraId="67C7BE2E" w14:textId="12AAEBB1" w:rsidR="00651552" w:rsidRPr="003761A6" w:rsidRDefault="00651552" w:rsidP="003F5056">
            <w:pPr>
              <w:spacing w:before="60" w:after="60"/>
              <w:jc w:val="center"/>
              <w:rPr>
                <w:color w:val="000000" w:themeColor="text1"/>
                <w:sz w:val="16"/>
                <w:szCs w:val="16"/>
              </w:rPr>
            </w:pPr>
            <w:r w:rsidRPr="003761A6">
              <w:rPr>
                <w:color w:val="000000" w:themeColor="text1"/>
                <w:sz w:val="16"/>
                <w:szCs w:val="16"/>
              </w:rPr>
              <w:t>C</w:t>
            </w:r>
            <w:r w:rsidR="00DC6730" w:rsidRPr="003761A6">
              <w:rPr>
                <w:color w:val="000000" w:themeColor="text1"/>
                <w:sz w:val="16"/>
                <w:szCs w:val="16"/>
              </w:rPr>
              <w:t>heck</w:t>
            </w:r>
          </w:p>
        </w:tc>
        <w:tc>
          <w:tcPr>
            <w:tcW w:w="3436" w:type="dxa"/>
            <w:shd w:val="clear" w:color="auto" w:fill="D9D9D9" w:themeFill="background1" w:themeFillShade="D9"/>
            <w:vAlign w:val="center"/>
          </w:tcPr>
          <w:p w14:paraId="74D7EBF6" w14:textId="7899EDF8" w:rsidR="00DC6730" w:rsidRPr="003761A6" w:rsidRDefault="00DC6730" w:rsidP="003F5056">
            <w:pPr>
              <w:spacing w:before="60" w:after="60"/>
              <w:jc w:val="center"/>
              <w:rPr>
                <w:color w:val="000000" w:themeColor="text1"/>
                <w:sz w:val="16"/>
                <w:szCs w:val="16"/>
              </w:rPr>
            </w:pPr>
            <w:r w:rsidRPr="003761A6">
              <w:rPr>
                <w:color w:val="000000" w:themeColor="text1"/>
                <w:sz w:val="16"/>
                <w:szCs w:val="16"/>
              </w:rPr>
              <w:t>Action</w:t>
            </w:r>
          </w:p>
        </w:tc>
        <w:tc>
          <w:tcPr>
            <w:tcW w:w="5850" w:type="dxa"/>
            <w:shd w:val="clear" w:color="auto" w:fill="D9D9D9" w:themeFill="background1" w:themeFillShade="D9"/>
            <w:vAlign w:val="center"/>
          </w:tcPr>
          <w:p w14:paraId="1A8422DF" w14:textId="2CC2E821" w:rsidR="00651552" w:rsidRPr="003761A6" w:rsidRDefault="000C5EDC" w:rsidP="003F5056">
            <w:pPr>
              <w:spacing w:before="60" w:after="60"/>
              <w:jc w:val="center"/>
              <w:rPr>
                <w:color w:val="000000" w:themeColor="text1"/>
                <w:sz w:val="16"/>
                <w:szCs w:val="16"/>
              </w:rPr>
            </w:pPr>
            <w:r>
              <w:rPr>
                <w:color w:val="000000" w:themeColor="text1"/>
                <w:sz w:val="16"/>
                <w:szCs w:val="16"/>
              </w:rPr>
              <w:t>Why This Will Help You</w:t>
            </w:r>
          </w:p>
        </w:tc>
      </w:tr>
      <w:tr w:rsidR="007316BB" w:rsidRPr="003761A6" w14:paraId="0763EAE3" w14:textId="77777777" w:rsidTr="00AB0AE1">
        <w:tc>
          <w:tcPr>
            <w:tcW w:w="445" w:type="dxa"/>
            <w:vAlign w:val="center"/>
          </w:tcPr>
          <w:p w14:paraId="060D139C" w14:textId="77777777" w:rsidR="007316BB" w:rsidRPr="003761A6" w:rsidRDefault="007316BB" w:rsidP="00AB0AE1">
            <w:pPr>
              <w:pStyle w:val="ListParagraph"/>
              <w:numPr>
                <w:ilvl w:val="0"/>
                <w:numId w:val="17"/>
              </w:numPr>
              <w:spacing w:before="120" w:after="120"/>
              <w:ind w:left="360"/>
              <w:rPr>
                <w:color w:val="000000" w:themeColor="text1"/>
                <w:sz w:val="16"/>
                <w:szCs w:val="16"/>
              </w:rPr>
            </w:pPr>
          </w:p>
        </w:tc>
        <w:sdt>
          <w:sdtPr>
            <w:rPr>
              <w:color w:val="000000" w:themeColor="text1"/>
              <w:sz w:val="16"/>
              <w:szCs w:val="16"/>
            </w:rPr>
            <w:id w:val="1273593798"/>
            <w14:checkbox>
              <w14:checked w14:val="0"/>
              <w14:checkedState w14:val="2612" w14:font="MS Gothic"/>
              <w14:uncheckedState w14:val="2610" w14:font="MS Gothic"/>
            </w14:checkbox>
          </w:sdtPr>
          <w:sdtEndPr/>
          <w:sdtContent>
            <w:tc>
              <w:tcPr>
                <w:tcW w:w="727" w:type="dxa"/>
                <w:vAlign w:val="center"/>
              </w:tcPr>
              <w:p w14:paraId="3EB609C2" w14:textId="37054605" w:rsidR="007316BB" w:rsidRPr="003761A6" w:rsidRDefault="00AB0AE1" w:rsidP="00AB0AE1">
                <w:pPr>
                  <w:spacing w:before="120" w:after="120"/>
                  <w:jc w:val="center"/>
                  <w:rPr>
                    <w:color w:val="000000" w:themeColor="text1"/>
                    <w:sz w:val="16"/>
                    <w:szCs w:val="16"/>
                  </w:rPr>
                </w:pPr>
                <w:r>
                  <w:rPr>
                    <w:rFonts w:ascii="MS Gothic" w:eastAsia="MS Gothic" w:hAnsi="MS Gothic" w:hint="eastAsia"/>
                    <w:color w:val="000000" w:themeColor="text1"/>
                    <w:sz w:val="16"/>
                    <w:szCs w:val="16"/>
                  </w:rPr>
                  <w:t>☐</w:t>
                </w:r>
              </w:p>
            </w:tc>
          </w:sdtContent>
        </w:sdt>
        <w:tc>
          <w:tcPr>
            <w:tcW w:w="3436" w:type="dxa"/>
            <w:vAlign w:val="center"/>
          </w:tcPr>
          <w:p w14:paraId="68A13941" w14:textId="3AD30EE6" w:rsidR="007316BB" w:rsidRPr="003761A6" w:rsidRDefault="007316BB" w:rsidP="00AB0AE1">
            <w:pPr>
              <w:spacing w:before="120" w:after="120"/>
              <w:rPr>
                <w:color w:val="000000" w:themeColor="text1"/>
                <w:sz w:val="16"/>
                <w:szCs w:val="16"/>
              </w:rPr>
            </w:pPr>
            <w:r w:rsidRPr="003761A6">
              <w:rPr>
                <w:color w:val="000000" w:themeColor="text1"/>
                <w:sz w:val="16"/>
                <w:szCs w:val="16"/>
              </w:rPr>
              <w:t xml:space="preserve">Determine which dental benefit plans </w:t>
            </w:r>
            <w:r w:rsidR="008F1CC8" w:rsidRPr="003761A6">
              <w:rPr>
                <w:color w:val="000000" w:themeColor="text1"/>
                <w:sz w:val="16"/>
                <w:szCs w:val="16"/>
              </w:rPr>
              <w:t xml:space="preserve">you should </w:t>
            </w:r>
            <w:r w:rsidR="00D04CC0">
              <w:rPr>
                <w:color w:val="000000" w:themeColor="text1"/>
                <w:sz w:val="16"/>
                <w:szCs w:val="16"/>
              </w:rPr>
              <w:t xml:space="preserve">implement EFT with first </w:t>
            </w:r>
            <w:r w:rsidR="008F1CC8" w:rsidRPr="003761A6">
              <w:rPr>
                <w:color w:val="000000" w:themeColor="text1"/>
                <w:sz w:val="16"/>
                <w:szCs w:val="16"/>
              </w:rPr>
              <w:t>to make a less stressful transition</w:t>
            </w:r>
            <w:r w:rsidR="00461746" w:rsidRPr="003761A6">
              <w:rPr>
                <w:color w:val="000000" w:themeColor="text1"/>
                <w:sz w:val="16"/>
                <w:szCs w:val="16"/>
              </w:rPr>
              <w:t xml:space="preserve"> from payments by paper check</w:t>
            </w:r>
            <w:r w:rsidR="008F1CC8" w:rsidRPr="003761A6">
              <w:rPr>
                <w:color w:val="000000" w:themeColor="text1"/>
                <w:sz w:val="16"/>
                <w:szCs w:val="16"/>
              </w:rPr>
              <w:t xml:space="preserve">. </w:t>
            </w:r>
          </w:p>
        </w:tc>
        <w:tc>
          <w:tcPr>
            <w:tcW w:w="5850" w:type="dxa"/>
            <w:vAlign w:val="center"/>
          </w:tcPr>
          <w:p w14:paraId="0C1E7464" w14:textId="4DEF7302" w:rsidR="007316BB" w:rsidRPr="003761A6" w:rsidRDefault="007316BB" w:rsidP="00AB0AE1">
            <w:pPr>
              <w:spacing w:before="120" w:after="120"/>
              <w:rPr>
                <w:color w:val="000000" w:themeColor="text1"/>
                <w:sz w:val="16"/>
                <w:szCs w:val="16"/>
              </w:rPr>
            </w:pPr>
            <w:r w:rsidRPr="003761A6">
              <w:rPr>
                <w:color w:val="000000" w:themeColor="text1"/>
                <w:sz w:val="16"/>
                <w:szCs w:val="16"/>
              </w:rPr>
              <w:t xml:space="preserve">Claim payment frequency is a factor to consider.  </w:t>
            </w:r>
            <w:r w:rsidR="008F1CC8" w:rsidRPr="003761A6">
              <w:rPr>
                <w:color w:val="000000" w:themeColor="text1"/>
                <w:sz w:val="16"/>
                <w:szCs w:val="16"/>
              </w:rPr>
              <w:t xml:space="preserve">Consider starting with either payers who bring in less volume into your practice </w:t>
            </w:r>
            <w:r w:rsidRPr="003761A6">
              <w:rPr>
                <w:color w:val="000000" w:themeColor="text1"/>
                <w:sz w:val="16"/>
                <w:szCs w:val="16"/>
              </w:rPr>
              <w:t>to gain experience and build staff confidence. Starting EFT with a high volume payer may overwhelm practice staff and affect cash flow.</w:t>
            </w:r>
          </w:p>
        </w:tc>
      </w:tr>
      <w:tr w:rsidR="007200C8" w:rsidRPr="003761A6" w14:paraId="35E31C99" w14:textId="77777777" w:rsidTr="00AB0AE1">
        <w:trPr>
          <w:cantSplit/>
        </w:trPr>
        <w:tc>
          <w:tcPr>
            <w:tcW w:w="445" w:type="dxa"/>
            <w:vAlign w:val="center"/>
          </w:tcPr>
          <w:p w14:paraId="0A0FCED4" w14:textId="77777777" w:rsidR="007200C8" w:rsidRPr="003761A6" w:rsidRDefault="007200C8" w:rsidP="00672B7B">
            <w:pPr>
              <w:pStyle w:val="ListParagraph"/>
              <w:numPr>
                <w:ilvl w:val="0"/>
                <w:numId w:val="17"/>
              </w:numPr>
              <w:spacing w:before="120" w:after="120"/>
              <w:ind w:left="360"/>
              <w:rPr>
                <w:color w:val="000000" w:themeColor="text1"/>
                <w:sz w:val="16"/>
                <w:szCs w:val="16"/>
              </w:rPr>
            </w:pPr>
          </w:p>
        </w:tc>
        <w:sdt>
          <w:sdtPr>
            <w:rPr>
              <w:color w:val="000000" w:themeColor="text1"/>
              <w:sz w:val="16"/>
              <w:szCs w:val="16"/>
            </w:rPr>
            <w:id w:val="-339076797"/>
            <w14:checkbox>
              <w14:checked w14:val="0"/>
              <w14:checkedState w14:val="2612" w14:font="MS Gothic"/>
              <w14:uncheckedState w14:val="2610" w14:font="MS Gothic"/>
            </w14:checkbox>
          </w:sdtPr>
          <w:sdtEndPr/>
          <w:sdtContent>
            <w:tc>
              <w:tcPr>
                <w:tcW w:w="727" w:type="dxa"/>
                <w:vAlign w:val="center"/>
              </w:tcPr>
              <w:p w14:paraId="1B7E578F" w14:textId="77777777" w:rsidR="007200C8" w:rsidRPr="003761A6" w:rsidRDefault="007200C8" w:rsidP="00672B7B">
                <w:pPr>
                  <w:spacing w:before="120" w:after="120"/>
                  <w:jc w:val="center"/>
                  <w:rPr>
                    <w:color w:val="000000" w:themeColor="text1"/>
                    <w:sz w:val="16"/>
                    <w:szCs w:val="16"/>
                  </w:rPr>
                </w:pPr>
                <w:r w:rsidRPr="003761A6">
                  <w:rPr>
                    <w:rFonts w:ascii="Segoe UI Symbol" w:eastAsia="MS Gothic" w:hAnsi="Segoe UI Symbol" w:cs="Segoe UI Symbol"/>
                    <w:color w:val="000000" w:themeColor="text1"/>
                    <w:sz w:val="16"/>
                    <w:szCs w:val="16"/>
                  </w:rPr>
                  <w:t>☐</w:t>
                </w:r>
              </w:p>
            </w:tc>
          </w:sdtContent>
        </w:sdt>
        <w:tc>
          <w:tcPr>
            <w:tcW w:w="3436" w:type="dxa"/>
            <w:vAlign w:val="center"/>
          </w:tcPr>
          <w:p w14:paraId="58F1D9CC" w14:textId="5814B800" w:rsidR="007200C8" w:rsidRPr="003761A6" w:rsidRDefault="007200C8" w:rsidP="003761A6">
            <w:pPr>
              <w:spacing w:before="120" w:after="120"/>
              <w:rPr>
                <w:color w:val="000000" w:themeColor="text1"/>
                <w:sz w:val="16"/>
                <w:szCs w:val="16"/>
              </w:rPr>
            </w:pPr>
            <w:r w:rsidRPr="003761A6">
              <w:rPr>
                <w:color w:val="000000" w:themeColor="text1"/>
                <w:sz w:val="16"/>
                <w:szCs w:val="16"/>
              </w:rPr>
              <w:t xml:space="preserve">Contact your </w:t>
            </w:r>
            <w:r w:rsidR="00AA31B1" w:rsidRPr="003761A6">
              <w:rPr>
                <w:color w:val="000000" w:themeColor="text1"/>
                <w:sz w:val="16"/>
                <w:szCs w:val="16"/>
              </w:rPr>
              <w:t xml:space="preserve">PMS </w:t>
            </w:r>
            <w:r w:rsidRPr="003761A6">
              <w:rPr>
                <w:color w:val="000000" w:themeColor="text1"/>
                <w:sz w:val="16"/>
                <w:szCs w:val="16"/>
              </w:rPr>
              <w:t xml:space="preserve">vendor to identify any required software changes, </w:t>
            </w:r>
            <w:r w:rsidR="003761A6" w:rsidRPr="003761A6">
              <w:rPr>
                <w:color w:val="000000" w:themeColor="text1"/>
                <w:sz w:val="16"/>
                <w:szCs w:val="16"/>
              </w:rPr>
              <w:t xml:space="preserve">and their associated fees, </w:t>
            </w:r>
            <w:r w:rsidRPr="003761A6">
              <w:rPr>
                <w:color w:val="000000" w:themeColor="text1"/>
                <w:sz w:val="16"/>
                <w:szCs w:val="16"/>
              </w:rPr>
              <w:t>or other actions that may influence your EFT implementation.</w:t>
            </w:r>
          </w:p>
        </w:tc>
        <w:tc>
          <w:tcPr>
            <w:tcW w:w="5850" w:type="dxa"/>
            <w:vAlign w:val="center"/>
          </w:tcPr>
          <w:p w14:paraId="513D4093" w14:textId="2E01CC53" w:rsidR="009F205D" w:rsidRPr="003761A6" w:rsidRDefault="007200C8" w:rsidP="003761A6">
            <w:pPr>
              <w:spacing w:before="120" w:after="120"/>
              <w:rPr>
                <w:color w:val="000000" w:themeColor="text1"/>
                <w:sz w:val="16"/>
                <w:szCs w:val="16"/>
              </w:rPr>
            </w:pPr>
            <w:r w:rsidRPr="003761A6">
              <w:rPr>
                <w:color w:val="000000" w:themeColor="text1"/>
                <w:sz w:val="16"/>
                <w:szCs w:val="16"/>
              </w:rPr>
              <w:t>PMS’ past experience with other practice’s EFT implementation experience may help determine best practices to include in your implementation</w:t>
            </w:r>
            <w:r w:rsidR="00C10305" w:rsidRPr="003761A6">
              <w:rPr>
                <w:color w:val="000000" w:themeColor="text1"/>
                <w:sz w:val="16"/>
                <w:szCs w:val="16"/>
              </w:rPr>
              <w:t xml:space="preserve"> (e.g., EFT enrollment method</w:t>
            </w:r>
            <w:r w:rsidRPr="003761A6">
              <w:rPr>
                <w:color w:val="000000" w:themeColor="text1"/>
                <w:sz w:val="16"/>
                <w:szCs w:val="16"/>
              </w:rPr>
              <w:t>.</w:t>
            </w:r>
            <w:r w:rsidR="003761A6" w:rsidRPr="003761A6">
              <w:rPr>
                <w:color w:val="000000" w:themeColor="text1"/>
                <w:sz w:val="16"/>
                <w:szCs w:val="16"/>
              </w:rPr>
              <w:t xml:space="preserve">  If you do not have a maintenance plan in place or do not have current PMS software installed, you may have to pay for an update.</w:t>
            </w:r>
          </w:p>
        </w:tc>
      </w:tr>
      <w:tr w:rsidR="007200C8" w:rsidRPr="003761A6" w14:paraId="527F5BE4" w14:textId="77777777" w:rsidTr="00AB0AE1">
        <w:trPr>
          <w:cantSplit/>
        </w:trPr>
        <w:tc>
          <w:tcPr>
            <w:tcW w:w="445" w:type="dxa"/>
            <w:vAlign w:val="center"/>
          </w:tcPr>
          <w:p w14:paraId="2EBB1A69" w14:textId="77777777" w:rsidR="007200C8" w:rsidRPr="003761A6" w:rsidRDefault="007200C8" w:rsidP="00BB1FD9">
            <w:pPr>
              <w:pStyle w:val="ListParagraph"/>
              <w:numPr>
                <w:ilvl w:val="0"/>
                <w:numId w:val="17"/>
              </w:numPr>
              <w:spacing w:before="120" w:after="120"/>
              <w:ind w:left="360"/>
              <w:rPr>
                <w:color w:val="000000" w:themeColor="text1"/>
                <w:sz w:val="16"/>
                <w:szCs w:val="16"/>
              </w:rPr>
            </w:pPr>
          </w:p>
        </w:tc>
        <w:sdt>
          <w:sdtPr>
            <w:rPr>
              <w:color w:val="000000" w:themeColor="text1"/>
              <w:sz w:val="16"/>
              <w:szCs w:val="16"/>
            </w:rPr>
            <w:id w:val="474726754"/>
            <w14:checkbox>
              <w14:checked w14:val="0"/>
              <w14:checkedState w14:val="2612" w14:font="MS Gothic"/>
              <w14:uncheckedState w14:val="2610" w14:font="MS Gothic"/>
            </w14:checkbox>
          </w:sdtPr>
          <w:sdtEndPr/>
          <w:sdtContent>
            <w:tc>
              <w:tcPr>
                <w:tcW w:w="727" w:type="dxa"/>
                <w:vAlign w:val="center"/>
              </w:tcPr>
              <w:p w14:paraId="5AF10523" w14:textId="572C597E" w:rsidR="007200C8" w:rsidRPr="003761A6" w:rsidRDefault="00822E20" w:rsidP="00BB1FD9">
                <w:pPr>
                  <w:spacing w:before="120" w:after="120"/>
                  <w:jc w:val="center"/>
                  <w:rPr>
                    <w:color w:val="000000" w:themeColor="text1"/>
                    <w:sz w:val="16"/>
                    <w:szCs w:val="16"/>
                  </w:rPr>
                </w:pPr>
                <w:r w:rsidRPr="003761A6">
                  <w:rPr>
                    <w:rFonts w:ascii="Segoe UI Symbol" w:eastAsia="MS Gothic" w:hAnsi="Segoe UI Symbol" w:cs="Segoe UI Symbol"/>
                    <w:color w:val="000000" w:themeColor="text1"/>
                    <w:sz w:val="16"/>
                    <w:szCs w:val="16"/>
                  </w:rPr>
                  <w:t>☐</w:t>
                </w:r>
              </w:p>
            </w:tc>
          </w:sdtContent>
        </w:sdt>
        <w:tc>
          <w:tcPr>
            <w:tcW w:w="3436" w:type="dxa"/>
            <w:vAlign w:val="center"/>
          </w:tcPr>
          <w:p w14:paraId="6B5EE521" w14:textId="03B59365" w:rsidR="007200C8" w:rsidRPr="003761A6" w:rsidRDefault="007200C8" w:rsidP="00AA31B1">
            <w:pPr>
              <w:spacing w:before="120" w:after="120"/>
              <w:rPr>
                <w:color w:val="000000" w:themeColor="text1"/>
                <w:sz w:val="16"/>
                <w:szCs w:val="16"/>
              </w:rPr>
            </w:pPr>
            <w:r w:rsidRPr="003761A6">
              <w:rPr>
                <w:color w:val="000000" w:themeColor="text1"/>
                <w:sz w:val="16"/>
                <w:szCs w:val="16"/>
              </w:rPr>
              <w:t xml:space="preserve">Contact your bank to identify actions needed for it to accept the HIPAA standard ACH </w:t>
            </w:r>
            <w:r w:rsidR="00AA31B1" w:rsidRPr="003761A6">
              <w:rPr>
                <w:color w:val="000000" w:themeColor="text1"/>
                <w:sz w:val="16"/>
                <w:szCs w:val="16"/>
              </w:rPr>
              <w:t xml:space="preserve">payment </w:t>
            </w:r>
            <w:r w:rsidRPr="003761A6">
              <w:rPr>
                <w:color w:val="000000" w:themeColor="text1"/>
                <w:sz w:val="16"/>
                <w:szCs w:val="16"/>
              </w:rPr>
              <w:t>transaction</w:t>
            </w:r>
            <w:r w:rsidR="00AA31B1" w:rsidRPr="003761A6">
              <w:rPr>
                <w:color w:val="000000" w:themeColor="text1"/>
                <w:sz w:val="16"/>
                <w:szCs w:val="16"/>
              </w:rPr>
              <w:t>,</w:t>
            </w:r>
            <w:r w:rsidRPr="003761A6">
              <w:rPr>
                <w:color w:val="000000" w:themeColor="text1"/>
                <w:sz w:val="16"/>
                <w:szCs w:val="16"/>
              </w:rPr>
              <w:t xml:space="preserve"> </w:t>
            </w:r>
            <w:r w:rsidR="00FC24E0" w:rsidRPr="003761A6">
              <w:rPr>
                <w:color w:val="000000" w:themeColor="text1"/>
                <w:sz w:val="16"/>
                <w:szCs w:val="16"/>
              </w:rPr>
              <w:t>and ways to prevent unauthorized ACH debit transactions.</w:t>
            </w:r>
          </w:p>
        </w:tc>
        <w:tc>
          <w:tcPr>
            <w:tcW w:w="5850" w:type="dxa"/>
            <w:vAlign w:val="center"/>
          </w:tcPr>
          <w:p w14:paraId="328925E4" w14:textId="2DE3C15A" w:rsidR="007200C8" w:rsidRPr="003761A6" w:rsidRDefault="00832BA4" w:rsidP="005B37A0">
            <w:pPr>
              <w:spacing w:before="120" w:after="120"/>
              <w:rPr>
                <w:color w:val="000000" w:themeColor="text1"/>
                <w:sz w:val="16"/>
                <w:szCs w:val="16"/>
              </w:rPr>
            </w:pPr>
            <w:r w:rsidRPr="003761A6">
              <w:rPr>
                <w:color w:val="000000" w:themeColor="text1"/>
                <w:sz w:val="16"/>
                <w:szCs w:val="16"/>
              </w:rPr>
              <w:t>Necessary discussion to</w:t>
            </w:r>
            <w:r w:rsidR="002D04C0" w:rsidRPr="003761A6">
              <w:rPr>
                <w:color w:val="000000" w:themeColor="text1"/>
                <w:sz w:val="16"/>
                <w:szCs w:val="16"/>
              </w:rPr>
              <w:t xml:space="preserve"> identify: a) account to receive </w:t>
            </w:r>
            <w:r w:rsidRPr="003761A6">
              <w:rPr>
                <w:color w:val="000000" w:themeColor="text1"/>
                <w:sz w:val="16"/>
                <w:szCs w:val="16"/>
              </w:rPr>
              <w:t>EFT deposit</w:t>
            </w:r>
            <w:r w:rsidR="002D04C0" w:rsidRPr="003761A6">
              <w:rPr>
                <w:color w:val="000000" w:themeColor="text1"/>
                <w:sz w:val="16"/>
                <w:szCs w:val="16"/>
              </w:rPr>
              <w:t xml:space="preserve">s; b) transaction fees; c) deposit notification </w:t>
            </w:r>
            <w:r w:rsidR="005B37A0">
              <w:rPr>
                <w:color w:val="000000" w:themeColor="text1"/>
                <w:sz w:val="16"/>
                <w:szCs w:val="16"/>
              </w:rPr>
              <w:t>options (e.g., automatic email or “fax”; online look-up only) and level of detail</w:t>
            </w:r>
            <w:r w:rsidR="002D04C0" w:rsidRPr="003761A6">
              <w:rPr>
                <w:color w:val="000000" w:themeColor="text1"/>
                <w:sz w:val="16"/>
                <w:szCs w:val="16"/>
              </w:rPr>
              <w:t xml:space="preserve">; and d) means to prevent </w:t>
            </w:r>
            <w:r w:rsidR="00D42BF6" w:rsidRPr="003761A6">
              <w:rPr>
                <w:color w:val="000000" w:themeColor="text1"/>
                <w:sz w:val="16"/>
                <w:szCs w:val="16"/>
              </w:rPr>
              <w:t>unauthorized withdrawal of reimbursement deposits.</w:t>
            </w:r>
          </w:p>
        </w:tc>
      </w:tr>
      <w:tr w:rsidR="00531FBD" w:rsidRPr="003761A6" w14:paraId="7CC58888" w14:textId="77777777" w:rsidTr="00AB0AE1">
        <w:tc>
          <w:tcPr>
            <w:tcW w:w="445" w:type="dxa"/>
            <w:vAlign w:val="center"/>
          </w:tcPr>
          <w:p w14:paraId="60C69D20" w14:textId="77777777" w:rsidR="00531FBD" w:rsidRPr="003761A6" w:rsidRDefault="00531FBD" w:rsidP="00531FBD">
            <w:pPr>
              <w:pStyle w:val="ListParagraph"/>
              <w:numPr>
                <w:ilvl w:val="0"/>
                <w:numId w:val="17"/>
              </w:numPr>
              <w:spacing w:before="120" w:after="120"/>
              <w:ind w:left="360"/>
              <w:rPr>
                <w:color w:val="000000" w:themeColor="text1"/>
                <w:sz w:val="16"/>
                <w:szCs w:val="16"/>
              </w:rPr>
            </w:pPr>
          </w:p>
        </w:tc>
        <w:sdt>
          <w:sdtPr>
            <w:rPr>
              <w:color w:val="000000" w:themeColor="text1"/>
              <w:sz w:val="16"/>
              <w:szCs w:val="16"/>
            </w:rPr>
            <w:id w:val="483047965"/>
            <w14:checkbox>
              <w14:checked w14:val="0"/>
              <w14:checkedState w14:val="2612" w14:font="MS Gothic"/>
              <w14:uncheckedState w14:val="2610" w14:font="MS Gothic"/>
            </w14:checkbox>
          </w:sdtPr>
          <w:sdtEndPr/>
          <w:sdtContent>
            <w:tc>
              <w:tcPr>
                <w:tcW w:w="727" w:type="dxa"/>
                <w:vAlign w:val="center"/>
              </w:tcPr>
              <w:p w14:paraId="3E86BEF3" w14:textId="676AFC7D" w:rsidR="00531FBD" w:rsidRPr="00531FBD" w:rsidRDefault="00531FBD" w:rsidP="00531FBD">
                <w:pPr>
                  <w:spacing w:before="120" w:after="120"/>
                  <w:jc w:val="center"/>
                  <w:rPr>
                    <w:color w:val="000000" w:themeColor="text1"/>
                    <w:sz w:val="16"/>
                    <w:szCs w:val="16"/>
                  </w:rPr>
                </w:pPr>
                <w:r w:rsidRPr="003761A6">
                  <w:rPr>
                    <w:rFonts w:ascii="Segoe UI Symbol" w:eastAsia="MS Gothic" w:hAnsi="Segoe UI Symbol" w:cs="Segoe UI Symbol"/>
                    <w:color w:val="000000" w:themeColor="text1"/>
                    <w:sz w:val="16"/>
                    <w:szCs w:val="16"/>
                  </w:rPr>
                  <w:t>☐</w:t>
                </w:r>
              </w:p>
            </w:tc>
          </w:sdtContent>
        </w:sdt>
        <w:tc>
          <w:tcPr>
            <w:tcW w:w="3436" w:type="dxa"/>
            <w:vAlign w:val="center"/>
          </w:tcPr>
          <w:p w14:paraId="52584073" w14:textId="2B92B20F" w:rsidR="00531FBD" w:rsidRPr="003761A6" w:rsidRDefault="00531FBD" w:rsidP="00531FBD">
            <w:pPr>
              <w:spacing w:before="120" w:after="120"/>
              <w:rPr>
                <w:color w:val="000000" w:themeColor="text1"/>
                <w:sz w:val="16"/>
                <w:szCs w:val="16"/>
              </w:rPr>
            </w:pPr>
            <w:r w:rsidRPr="003761A6">
              <w:rPr>
                <w:color w:val="000000" w:themeColor="text1"/>
                <w:sz w:val="16"/>
                <w:szCs w:val="16"/>
              </w:rPr>
              <w:t>Determine when to begin initial EFT implementation and initiate necessary actions listed in Part 3.</w:t>
            </w:r>
          </w:p>
        </w:tc>
        <w:tc>
          <w:tcPr>
            <w:tcW w:w="5850" w:type="dxa"/>
            <w:vAlign w:val="center"/>
          </w:tcPr>
          <w:p w14:paraId="1EAD6341" w14:textId="62B47D51" w:rsidR="00531FBD" w:rsidRPr="003761A6" w:rsidRDefault="00531FBD" w:rsidP="00531FBD">
            <w:pPr>
              <w:spacing w:before="120" w:after="120"/>
              <w:rPr>
                <w:color w:val="000000" w:themeColor="text1"/>
                <w:sz w:val="16"/>
                <w:szCs w:val="16"/>
              </w:rPr>
            </w:pPr>
            <w:r w:rsidRPr="003761A6">
              <w:rPr>
                <w:color w:val="000000" w:themeColor="text1"/>
                <w:sz w:val="16"/>
                <w:szCs w:val="16"/>
              </w:rPr>
              <w:t xml:space="preserve">Phased implementation (e.g., dental benefit plan or plans with significant, but not overwhelming, claim payment volume) enables staff to accommodate new payment type without major upset to continuing paper payment processing. </w:t>
            </w:r>
          </w:p>
        </w:tc>
      </w:tr>
    </w:tbl>
    <w:p w14:paraId="10B3CFFF" w14:textId="77777777" w:rsidR="00FD3430" w:rsidRPr="002E7C64" w:rsidRDefault="00FD3430">
      <w:pPr>
        <w:spacing w:after="0"/>
        <w:rPr>
          <w:color w:val="000000" w:themeColor="text1"/>
        </w:rPr>
      </w:pPr>
      <w:r w:rsidRPr="002E7C64">
        <w:rPr>
          <w:color w:val="000000" w:themeColor="text1"/>
        </w:rPr>
        <w:br w:type="page"/>
      </w:r>
    </w:p>
    <w:p w14:paraId="07529741" w14:textId="0A30E452" w:rsidR="00FE0478" w:rsidRPr="003761A6" w:rsidRDefault="00AF39AC" w:rsidP="008E4C6E">
      <w:pPr>
        <w:spacing w:before="360" w:after="120"/>
        <w:jc w:val="center"/>
        <w:rPr>
          <w:color w:val="00B050"/>
        </w:rPr>
      </w:pPr>
      <w:r w:rsidRPr="003761A6">
        <w:rPr>
          <w:color w:val="00B050"/>
        </w:rPr>
        <w:lastRenderedPageBreak/>
        <w:t>Part 3 – I</w:t>
      </w:r>
      <w:r w:rsidR="00FE0478" w:rsidRPr="003761A6">
        <w:rPr>
          <w:color w:val="00B050"/>
        </w:rPr>
        <w:t>mplement</w:t>
      </w:r>
      <w:r w:rsidRPr="003761A6">
        <w:rPr>
          <w:color w:val="00B050"/>
        </w:rPr>
        <w:t xml:space="preserve"> Your Plan</w:t>
      </w:r>
    </w:p>
    <w:tbl>
      <w:tblPr>
        <w:tblStyle w:val="TableGrid"/>
        <w:tblW w:w="10458" w:type="dxa"/>
        <w:tblInd w:w="-113" w:type="dxa"/>
        <w:tblLook w:val="04A0" w:firstRow="1" w:lastRow="0" w:firstColumn="1" w:lastColumn="0" w:noHBand="0" w:noVBand="1"/>
      </w:tblPr>
      <w:tblGrid>
        <w:gridCol w:w="445"/>
        <w:gridCol w:w="727"/>
        <w:gridCol w:w="3436"/>
        <w:gridCol w:w="5850"/>
      </w:tblGrid>
      <w:tr w:rsidR="00FE0478" w:rsidRPr="006B7C16" w14:paraId="5253587C" w14:textId="77777777" w:rsidTr="00AB0AE1">
        <w:tc>
          <w:tcPr>
            <w:tcW w:w="445" w:type="dxa"/>
            <w:shd w:val="clear" w:color="auto" w:fill="D9D9D9" w:themeFill="background1" w:themeFillShade="D9"/>
            <w:vAlign w:val="center"/>
          </w:tcPr>
          <w:p w14:paraId="06813F81" w14:textId="77777777" w:rsidR="00FE0478" w:rsidRPr="000C5EDC" w:rsidRDefault="00FE0478" w:rsidP="003F5056">
            <w:pPr>
              <w:spacing w:before="60" w:after="60"/>
              <w:jc w:val="center"/>
              <w:rPr>
                <w:color w:val="000000" w:themeColor="text1"/>
                <w:sz w:val="16"/>
                <w:szCs w:val="16"/>
              </w:rPr>
            </w:pPr>
            <w:r w:rsidRPr="000C5EDC">
              <w:rPr>
                <w:color w:val="000000" w:themeColor="text1"/>
                <w:sz w:val="16"/>
                <w:szCs w:val="16"/>
              </w:rPr>
              <w:t>#</w:t>
            </w:r>
          </w:p>
        </w:tc>
        <w:tc>
          <w:tcPr>
            <w:tcW w:w="727" w:type="dxa"/>
            <w:shd w:val="clear" w:color="auto" w:fill="D9D9D9" w:themeFill="background1" w:themeFillShade="D9"/>
            <w:vAlign w:val="center"/>
          </w:tcPr>
          <w:p w14:paraId="276DF5C2" w14:textId="77777777" w:rsidR="00FE0478" w:rsidRPr="000C5EDC" w:rsidRDefault="00FE0478" w:rsidP="003F5056">
            <w:pPr>
              <w:spacing w:before="60" w:after="60"/>
              <w:jc w:val="center"/>
              <w:rPr>
                <w:color w:val="000000" w:themeColor="text1"/>
                <w:sz w:val="16"/>
                <w:szCs w:val="16"/>
              </w:rPr>
            </w:pPr>
            <w:r w:rsidRPr="000C5EDC">
              <w:rPr>
                <w:color w:val="000000" w:themeColor="text1"/>
                <w:sz w:val="16"/>
                <w:szCs w:val="16"/>
              </w:rPr>
              <w:t>Check</w:t>
            </w:r>
          </w:p>
        </w:tc>
        <w:tc>
          <w:tcPr>
            <w:tcW w:w="3436" w:type="dxa"/>
            <w:shd w:val="clear" w:color="auto" w:fill="D9D9D9" w:themeFill="background1" w:themeFillShade="D9"/>
            <w:vAlign w:val="center"/>
          </w:tcPr>
          <w:p w14:paraId="4079C84D" w14:textId="77777777" w:rsidR="00FE0478" w:rsidRPr="000C5EDC" w:rsidRDefault="00FE0478" w:rsidP="003F5056">
            <w:pPr>
              <w:spacing w:before="60" w:after="60"/>
              <w:jc w:val="center"/>
              <w:rPr>
                <w:color w:val="000000" w:themeColor="text1"/>
                <w:sz w:val="16"/>
                <w:szCs w:val="16"/>
              </w:rPr>
            </w:pPr>
            <w:r w:rsidRPr="000C5EDC">
              <w:rPr>
                <w:color w:val="000000" w:themeColor="text1"/>
                <w:sz w:val="16"/>
                <w:szCs w:val="16"/>
              </w:rPr>
              <w:t>Action</w:t>
            </w:r>
          </w:p>
        </w:tc>
        <w:tc>
          <w:tcPr>
            <w:tcW w:w="5850" w:type="dxa"/>
            <w:shd w:val="clear" w:color="auto" w:fill="D9D9D9" w:themeFill="background1" w:themeFillShade="D9"/>
            <w:vAlign w:val="center"/>
          </w:tcPr>
          <w:p w14:paraId="1B060DFD" w14:textId="157D5C03" w:rsidR="00FE0478" w:rsidRPr="006B7C16" w:rsidRDefault="000C5EDC" w:rsidP="003F5056">
            <w:pPr>
              <w:spacing w:before="60" w:after="60"/>
              <w:jc w:val="center"/>
              <w:rPr>
                <w:color w:val="000000" w:themeColor="text1"/>
                <w:sz w:val="18"/>
                <w:szCs w:val="18"/>
              </w:rPr>
            </w:pPr>
            <w:r>
              <w:rPr>
                <w:color w:val="000000" w:themeColor="text1"/>
                <w:sz w:val="16"/>
                <w:szCs w:val="16"/>
              </w:rPr>
              <w:t>Why This Will Help You</w:t>
            </w:r>
          </w:p>
        </w:tc>
      </w:tr>
      <w:tr w:rsidR="00AF39AC" w:rsidRPr="003761A6" w14:paraId="32D66928" w14:textId="77777777" w:rsidTr="00AB0AE1">
        <w:trPr>
          <w:cantSplit/>
        </w:trPr>
        <w:tc>
          <w:tcPr>
            <w:tcW w:w="445" w:type="dxa"/>
            <w:vAlign w:val="center"/>
          </w:tcPr>
          <w:p w14:paraId="4940F09D" w14:textId="77777777" w:rsidR="00AF39AC" w:rsidRPr="003761A6" w:rsidRDefault="00AF39AC" w:rsidP="006117F3">
            <w:pPr>
              <w:pStyle w:val="ListParagraph"/>
              <w:numPr>
                <w:ilvl w:val="0"/>
                <w:numId w:val="17"/>
              </w:numPr>
              <w:spacing w:before="120" w:after="120"/>
              <w:ind w:left="360"/>
              <w:rPr>
                <w:color w:val="000000" w:themeColor="text1"/>
                <w:sz w:val="16"/>
                <w:szCs w:val="16"/>
              </w:rPr>
            </w:pPr>
          </w:p>
        </w:tc>
        <w:sdt>
          <w:sdtPr>
            <w:rPr>
              <w:color w:val="000000" w:themeColor="text1"/>
              <w:sz w:val="16"/>
              <w:szCs w:val="16"/>
            </w:rPr>
            <w:id w:val="-1385483559"/>
            <w14:checkbox>
              <w14:checked w14:val="0"/>
              <w14:checkedState w14:val="2612" w14:font="MS Gothic"/>
              <w14:uncheckedState w14:val="2610" w14:font="MS Gothic"/>
            </w14:checkbox>
          </w:sdtPr>
          <w:sdtEndPr/>
          <w:sdtContent>
            <w:tc>
              <w:tcPr>
                <w:tcW w:w="727" w:type="dxa"/>
                <w:vAlign w:val="center"/>
              </w:tcPr>
              <w:p w14:paraId="5B5BA601" w14:textId="79130449" w:rsidR="00AF39AC" w:rsidRPr="003761A6" w:rsidRDefault="00AF39AC" w:rsidP="006117F3">
                <w:pPr>
                  <w:spacing w:before="120" w:after="120"/>
                  <w:jc w:val="center"/>
                  <w:rPr>
                    <w:color w:val="000000" w:themeColor="text1"/>
                    <w:sz w:val="16"/>
                    <w:szCs w:val="16"/>
                  </w:rPr>
                </w:pPr>
                <w:r w:rsidRPr="003761A6">
                  <w:rPr>
                    <w:rFonts w:ascii="Segoe UI Symbol" w:eastAsia="MS Gothic" w:hAnsi="Segoe UI Symbol" w:cs="Segoe UI Symbol"/>
                    <w:color w:val="000000" w:themeColor="text1"/>
                    <w:sz w:val="16"/>
                    <w:szCs w:val="16"/>
                  </w:rPr>
                  <w:t>☐</w:t>
                </w:r>
              </w:p>
            </w:tc>
          </w:sdtContent>
        </w:sdt>
        <w:tc>
          <w:tcPr>
            <w:tcW w:w="3436" w:type="dxa"/>
            <w:vAlign w:val="center"/>
          </w:tcPr>
          <w:p w14:paraId="65FC4E93" w14:textId="7723ED75" w:rsidR="00AF39AC" w:rsidRPr="003761A6" w:rsidRDefault="00AA31B1" w:rsidP="00AA31B1">
            <w:pPr>
              <w:spacing w:before="120" w:after="120"/>
              <w:rPr>
                <w:color w:val="000000" w:themeColor="text1"/>
                <w:sz w:val="16"/>
                <w:szCs w:val="16"/>
              </w:rPr>
            </w:pPr>
            <w:r w:rsidRPr="003761A6">
              <w:rPr>
                <w:color w:val="000000" w:themeColor="text1"/>
                <w:sz w:val="16"/>
                <w:szCs w:val="16"/>
              </w:rPr>
              <w:t>Schedule any required PMS software changes and necessary staff training.</w:t>
            </w:r>
          </w:p>
        </w:tc>
        <w:tc>
          <w:tcPr>
            <w:tcW w:w="5850" w:type="dxa"/>
            <w:vAlign w:val="center"/>
          </w:tcPr>
          <w:p w14:paraId="1B5F51EB" w14:textId="14891DE7" w:rsidR="00AF39AC" w:rsidRPr="003761A6" w:rsidRDefault="00303654" w:rsidP="006A7F90">
            <w:pPr>
              <w:spacing w:before="120" w:after="120"/>
              <w:rPr>
                <w:color w:val="000000" w:themeColor="text1"/>
                <w:sz w:val="16"/>
                <w:szCs w:val="16"/>
              </w:rPr>
            </w:pPr>
            <w:r w:rsidRPr="003761A6">
              <w:rPr>
                <w:color w:val="000000" w:themeColor="text1"/>
                <w:sz w:val="16"/>
                <w:szCs w:val="16"/>
              </w:rPr>
              <w:t>The need and scope of this action depends on the information acquired in checklist item</w:t>
            </w:r>
            <w:r w:rsidR="003761A6">
              <w:rPr>
                <w:color w:val="000000" w:themeColor="text1"/>
                <w:sz w:val="16"/>
                <w:szCs w:val="16"/>
              </w:rPr>
              <w:t>s</w:t>
            </w:r>
            <w:r w:rsidRPr="003761A6">
              <w:rPr>
                <w:color w:val="000000" w:themeColor="text1"/>
                <w:sz w:val="16"/>
                <w:szCs w:val="16"/>
              </w:rPr>
              <w:t xml:space="preserve"> #5 </w:t>
            </w:r>
            <w:r w:rsidR="003761A6">
              <w:rPr>
                <w:color w:val="000000" w:themeColor="text1"/>
                <w:sz w:val="16"/>
                <w:szCs w:val="16"/>
              </w:rPr>
              <w:t xml:space="preserve">and #6 </w:t>
            </w:r>
            <w:r w:rsidRPr="003761A6">
              <w:rPr>
                <w:color w:val="000000" w:themeColor="text1"/>
                <w:sz w:val="16"/>
                <w:szCs w:val="16"/>
              </w:rPr>
              <w:t>above.</w:t>
            </w:r>
            <w:r w:rsidR="006A7F90">
              <w:rPr>
                <w:color w:val="000000" w:themeColor="text1"/>
                <w:sz w:val="16"/>
                <w:szCs w:val="16"/>
              </w:rPr>
              <w:t xml:space="preserve">  PMS vendors (e.g., Dentrix; Eaglesoft) offer practice staff training as well as one-on-one assistance that helps staff understand how to set-up EFT with payers and how to use the PMS software to post and reconcile electronic payments.  Contact your PMS vendor representative to schedule staff training.</w:t>
            </w:r>
          </w:p>
        </w:tc>
      </w:tr>
      <w:tr w:rsidR="00AA31B1" w:rsidRPr="003761A6" w14:paraId="5162A63B" w14:textId="77777777" w:rsidTr="00AB0AE1">
        <w:trPr>
          <w:cantSplit/>
        </w:trPr>
        <w:tc>
          <w:tcPr>
            <w:tcW w:w="445" w:type="dxa"/>
            <w:vAlign w:val="center"/>
          </w:tcPr>
          <w:p w14:paraId="142E6763" w14:textId="77777777" w:rsidR="00AA31B1" w:rsidRPr="003761A6" w:rsidRDefault="00AA31B1" w:rsidP="006117F3">
            <w:pPr>
              <w:pStyle w:val="ListParagraph"/>
              <w:numPr>
                <w:ilvl w:val="0"/>
                <w:numId w:val="17"/>
              </w:numPr>
              <w:spacing w:before="120" w:after="120"/>
              <w:ind w:left="360"/>
              <w:rPr>
                <w:color w:val="000000" w:themeColor="text1"/>
                <w:sz w:val="16"/>
                <w:szCs w:val="16"/>
              </w:rPr>
            </w:pPr>
          </w:p>
        </w:tc>
        <w:sdt>
          <w:sdtPr>
            <w:rPr>
              <w:color w:val="000000" w:themeColor="text1"/>
              <w:sz w:val="16"/>
              <w:szCs w:val="16"/>
            </w:rPr>
            <w:id w:val="-1702619544"/>
            <w14:checkbox>
              <w14:checked w14:val="0"/>
              <w14:checkedState w14:val="2612" w14:font="MS Gothic"/>
              <w14:uncheckedState w14:val="2610" w14:font="MS Gothic"/>
            </w14:checkbox>
          </w:sdtPr>
          <w:sdtEndPr/>
          <w:sdtContent>
            <w:tc>
              <w:tcPr>
                <w:tcW w:w="727" w:type="dxa"/>
                <w:vAlign w:val="center"/>
              </w:tcPr>
              <w:p w14:paraId="53410AC5" w14:textId="6DE58C8A" w:rsidR="00AA31B1" w:rsidRPr="003761A6" w:rsidRDefault="00AA31B1" w:rsidP="006117F3">
                <w:pPr>
                  <w:spacing w:before="120" w:after="120"/>
                  <w:jc w:val="center"/>
                  <w:rPr>
                    <w:color w:val="000000" w:themeColor="text1"/>
                    <w:sz w:val="16"/>
                    <w:szCs w:val="16"/>
                  </w:rPr>
                </w:pPr>
                <w:r w:rsidRPr="003761A6">
                  <w:rPr>
                    <w:rFonts w:ascii="Segoe UI Symbol" w:eastAsia="MS Gothic" w:hAnsi="Segoe UI Symbol" w:cs="Segoe UI Symbol"/>
                    <w:color w:val="000000" w:themeColor="text1"/>
                    <w:sz w:val="16"/>
                    <w:szCs w:val="16"/>
                  </w:rPr>
                  <w:t>☐</w:t>
                </w:r>
              </w:p>
            </w:tc>
          </w:sdtContent>
        </w:sdt>
        <w:tc>
          <w:tcPr>
            <w:tcW w:w="3436" w:type="dxa"/>
            <w:vAlign w:val="center"/>
          </w:tcPr>
          <w:p w14:paraId="0146FE30" w14:textId="6BF0850A" w:rsidR="00AA31B1" w:rsidRPr="003761A6" w:rsidRDefault="00EF3816" w:rsidP="00F11351">
            <w:pPr>
              <w:spacing w:before="120" w:after="120"/>
              <w:rPr>
                <w:color w:val="000000" w:themeColor="text1"/>
                <w:sz w:val="16"/>
                <w:szCs w:val="16"/>
              </w:rPr>
            </w:pPr>
            <w:r w:rsidRPr="003761A6">
              <w:rPr>
                <w:color w:val="000000" w:themeColor="text1"/>
                <w:sz w:val="16"/>
                <w:szCs w:val="16"/>
              </w:rPr>
              <w:t>Complete banking arrangements that enable the practice’s bank to accept, report and protect EFT payments.</w:t>
            </w:r>
          </w:p>
        </w:tc>
        <w:tc>
          <w:tcPr>
            <w:tcW w:w="5850" w:type="dxa"/>
            <w:vAlign w:val="center"/>
          </w:tcPr>
          <w:p w14:paraId="3A24F8EC" w14:textId="77777777" w:rsidR="00EF3816" w:rsidRPr="003761A6" w:rsidRDefault="00EF3816" w:rsidP="003922C7">
            <w:pPr>
              <w:spacing w:before="120" w:after="0"/>
              <w:rPr>
                <w:color w:val="000000" w:themeColor="text1"/>
                <w:sz w:val="16"/>
                <w:szCs w:val="16"/>
              </w:rPr>
            </w:pPr>
            <w:r w:rsidRPr="003761A6">
              <w:rPr>
                <w:color w:val="000000" w:themeColor="text1"/>
                <w:sz w:val="16"/>
                <w:szCs w:val="16"/>
              </w:rPr>
              <w:t>Necessary banking arrangements are:</w:t>
            </w:r>
          </w:p>
          <w:p w14:paraId="74688D45" w14:textId="77777777" w:rsidR="002D04C0" w:rsidRPr="003761A6" w:rsidRDefault="002D04C0" w:rsidP="003922C7">
            <w:pPr>
              <w:pStyle w:val="ListParagraph"/>
              <w:numPr>
                <w:ilvl w:val="0"/>
                <w:numId w:val="23"/>
              </w:numPr>
              <w:spacing w:after="120"/>
              <w:ind w:left="360"/>
              <w:rPr>
                <w:color w:val="000000" w:themeColor="text1"/>
                <w:sz w:val="16"/>
                <w:szCs w:val="16"/>
              </w:rPr>
            </w:pPr>
            <w:r w:rsidRPr="003761A6">
              <w:rPr>
                <w:color w:val="000000" w:themeColor="text1"/>
                <w:sz w:val="16"/>
                <w:szCs w:val="16"/>
              </w:rPr>
              <w:t>Specification of business account (existing or new) to receive EFT payments</w:t>
            </w:r>
          </w:p>
          <w:p w14:paraId="7B6360E7" w14:textId="2CA12DC6" w:rsidR="00F11351" w:rsidRPr="003761A6" w:rsidRDefault="00F11351" w:rsidP="00F11351">
            <w:pPr>
              <w:pStyle w:val="ListParagraph"/>
              <w:numPr>
                <w:ilvl w:val="0"/>
                <w:numId w:val="23"/>
              </w:numPr>
              <w:spacing w:before="120" w:after="120"/>
              <w:ind w:left="365"/>
              <w:rPr>
                <w:color w:val="000000" w:themeColor="text1"/>
                <w:sz w:val="16"/>
                <w:szCs w:val="16"/>
              </w:rPr>
            </w:pPr>
            <w:r w:rsidRPr="003761A6">
              <w:rPr>
                <w:color w:val="000000" w:themeColor="text1"/>
                <w:sz w:val="16"/>
                <w:szCs w:val="16"/>
              </w:rPr>
              <w:t xml:space="preserve">Decision on </w:t>
            </w:r>
            <w:r w:rsidR="005B37A0">
              <w:rPr>
                <w:color w:val="000000" w:themeColor="text1"/>
                <w:sz w:val="16"/>
                <w:szCs w:val="16"/>
              </w:rPr>
              <w:t xml:space="preserve">how practice staff will receive </w:t>
            </w:r>
            <w:r w:rsidR="002D04C0" w:rsidRPr="003761A6">
              <w:rPr>
                <w:color w:val="000000" w:themeColor="text1"/>
                <w:sz w:val="16"/>
                <w:szCs w:val="16"/>
              </w:rPr>
              <w:t xml:space="preserve">EFT deposit notification </w:t>
            </w:r>
            <w:r w:rsidR="005B37A0">
              <w:rPr>
                <w:color w:val="000000" w:themeColor="text1"/>
                <w:sz w:val="16"/>
                <w:szCs w:val="16"/>
              </w:rPr>
              <w:t>(e.g., “push” from bank via</w:t>
            </w:r>
            <w:r w:rsidR="002D04C0" w:rsidRPr="003761A6">
              <w:rPr>
                <w:color w:val="000000" w:themeColor="text1"/>
                <w:sz w:val="16"/>
                <w:szCs w:val="16"/>
              </w:rPr>
              <w:t xml:space="preserve"> automatic email or fax</w:t>
            </w:r>
            <w:r w:rsidR="005B37A0">
              <w:rPr>
                <w:color w:val="000000" w:themeColor="text1"/>
                <w:sz w:val="16"/>
                <w:szCs w:val="16"/>
              </w:rPr>
              <w:t>; “pull”</w:t>
            </w:r>
            <w:r w:rsidR="002D04C0" w:rsidRPr="003761A6">
              <w:rPr>
                <w:color w:val="000000" w:themeColor="text1"/>
                <w:sz w:val="16"/>
                <w:szCs w:val="16"/>
              </w:rPr>
              <w:t xml:space="preserve"> from bank</w:t>
            </w:r>
            <w:r w:rsidR="005B37A0">
              <w:rPr>
                <w:color w:val="000000" w:themeColor="text1"/>
                <w:sz w:val="16"/>
                <w:szCs w:val="16"/>
              </w:rPr>
              <w:t>’s customer web site</w:t>
            </w:r>
            <w:r w:rsidR="00FD3430">
              <w:rPr>
                <w:color w:val="000000" w:themeColor="text1"/>
                <w:sz w:val="16"/>
                <w:szCs w:val="16"/>
              </w:rPr>
              <w:t>)</w:t>
            </w:r>
          </w:p>
          <w:p w14:paraId="1B922A04" w14:textId="735F0D1B" w:rsidR="00EF3816" w:rsidRPr="003761A6" w:rsidRDefault="00F11351" w:rsidP="00F11351">
            <w:pPr>
              <w:pStyle w:val="ListParagraph"/>
              <w:numPr>
                <w:ilvl w:val="0"/>
                <w:numId w:val="23"/>
              </w:numPr>
              <w:spacing w:before="120" w:after="120"/>
              <w:ind w:left="365"/>
              <w:rPr>
                <w:color w:val="000000" w:themeColor="text1"/>
                <w:sz w:val="16"/>
                <w:szCs w:val="16"/>
              </w:rPr>
            </w:pPr>
            <w:r w:rsidRPr="003761A6">
              <w:rPr>
                <w:color w:val="000000" w:themeColor="text1"/>
                <w:sz w:val="16"/>
                <w:szCs w:val="16"/>
              </w:rPr>
              <w:t xml:space="preserve">Set up of </w:t>
            </w:r>
            <w:r w:rsidR="00EF3816" w:rsidRPr="003761A6">
              <w:rPr>
                <w:color w:val="000000" w:themeColor="text1"/>
                <w:sz w:val="16"/>
                <w:szCs w:val="16"/>
              </w:rPr>
              <w:t>ACH Debit Blocks, Filters, or ACH Positive Pay to prevent unauthorized withdrawal of reimbursement deposits</w:t>
            </w:r>
          </w:p>
        </w:tc>
      </w:tr>
      <w:tr w:rsidR="00C24027" w:rsidRPr="003761A6" w14:paraId="19855B54" w14:textId="77777777" w:rsidTr="00AB0AE1">
        <w:trPr>
          <w:cantSplit/>
        </w:trPr>
        <w:tc>
          <w:tcPr>
            <w:tcW w:w="445" w:type="dxa"/>
            <w:vAlign w:val="center"/>
          </w:tcPr>
          <w:p w14:paraId="52A03F1E" w14:textId="46E4D849" w:rsidR="00C24027" w:rsidRPr="003761A6" w:rsidRDefault="00C24027" w:rsidP="00B01352">
            <w:pPr>
              <w:pStyle w:val="ListParagraph"/>
              <w:numPr>
                <w:ilvl w:val="0"/>
                <w:numId w:val="17"/>
              </w:numPr>
              <w:spacing w:before="120" w:after="120"/>
              <w:ind w:left="360"/>
              <w:rPr>
                <w:color w:val="000000" w:themeColor="text1"/>
                <w:sz w:val="16"/>
                <w:szCs w:val="16"/>
              </w:rPr>
            </w:pPr>
          </w:p>
        </w:tc>
        <w:sdt>
          <w:sdtPr>
            <w:rPr>
              <w:color w:val="000000" w:themeColor="text1"/>
              <w:sz w:val="16"/>
              <w:szCs w:val="16"/>
            </w:rPr>
            <w:id w:val="-948003210"/>
            <w14:checkbox>
              <w14:checked w14:val="0"/>
              <w14:checkedState w14:val="2612" w14:font="MS Gothic"/>
              <w14:uncheckedState w14:val="2610" w14:font="MS Gothic"/>
            </w14:checkbox>
          </w:sdtPr>
          <w:sdtEndPr/>
          <w:sdtContent>
            <w:tc>
              <w:tcPr>
                <w:tcW w:w="727" w:type="dxa"/>
                <w:vAlign w:val="center"/>
              </w:tcPr>
              <w:p w14:paraId="68A2524A" w14:textId="43709952" w:rsidR="00C24027" w:rsidRPr="003761A6" w:rsidRDefault="009128FD" w:rsidP="00B01352">
                <w:pPr>
                  <w:spacing w:before="120" w:after="120"/>
                  <w:jc w:val="center"/>
                  <w:rPr>
                    <w:color w:val="000000" w:themeColor="text1"/>
                    <w:sz w:val="16"/>
                    <w:szCs w:val="16"/>
                  </w:rPr>
                </w:pPr>
                <w:r w:rsidRPr="003761A6">
                  <w:rPr>
                    <w:rFonts w:ascii="Segoe UI Symbol" w:eastAsia="MS Gothic" w:hAnsi="Segoe UI Symbol" w:cs="Segoe UI Symbol"/>
                    <w:color w:val="000000" w:themeColor="text1"/>
                    <w:sz w:val="16"/>
                    <w:szCs w:val="16"/>
                  </w:rPr>
                  <w:t>☐</w:t>
                </w:r>
              </w:p>
            </w:tc>
          </w:sdtContent>
        </w:sdt>
        <w:tc>
          <w:tcPr>
            <w:tcW w:w="3436" w:type="dxa"/>
            <w:vAlign w:val="center"/>
          </w:tcPr>
          <w:p w14:paraId="363BCC68" w14:textId="3764C84F" w:rsidR="00C24027" w:rsidRPr="003761A6" w:rsidRDefault="00C24027" w:rsidP="00B01352">
            <w:pPr>
              <w:spacing w:before="120" w:after="120"/>
              <w:rPr>
                <w:color w:val="000000" w:themeColor="text1"/>
                <w:sz w:val="16"/>
                <w:szCs w:val="16"/>
              </w:rPr>
            </w:pPr>
            <w:r w:rsidRPr="003761A6">
              <w:rPr>
                <w:color w:val="000000" w:themeColor="text1"/>
                <w:sz w:val="16"/>
                <w:szCs w:val="16"/>
              </w:rPr>
              <w:t>Enroll with payers to receive EFT instead of paper checks</w:t>
            </w:r>
            <w:r w:rsidR="003116EF" w:rsidRPr="003761A6">
              <w:rPr>
                <w:color w:val="000000" w:themeColor="text1"/>
                <w:sz w:val="16"/>
                <w:szCs w:val="16"/>
              </w:rPr>
              <w:t>.</w:t>
            </w:r>
          </w:p>
        </w:tc>
        <w:tc>
          <w:tcPr>
            <w:tcW w:w="5850" w:type="dxa"/>
            <w:vAlign w:val="center"/>
          </w:tcPr>
          <w:p w14:paraId="2F1D7E5C" w14:textId="7D30D4F4" w:rsidR="00C24027" w:rsidRPr="003761A6" w:rsidRDefault="00C24027" w:rsidP="003116EF">
            <w:pPr>
              <w:spacing w:before="120" w:after="120"/>
              <w:rPr>
                <w:color w:val="000000" w:themeColor="text1"/>
                <w:sz w:val="16"/>
                <w:szCs w:val="16"/>
              </w:rPr>
            </w:pPr>
            <w:r w:rsidRPr="003761A6">
              <w:rPr>
                <w:color w:val="000000" w:themeColor="text1"/>
                <w:sz w:val="16"/>
                <w:szCs w:val="16"/>
              </w:rPr>
              <w:t xml:space="preserve">Enrollment – whether by via CAQH </w:t>
            </w:r>
            <w:r w:rsidR="00AB2116" w:rsidRPr="003761A6">
              <w:rPr>
                <w:color w:val="000000" w:themeColor="text1"/>
                <w:sz w:val="16"/>
                <w:szCs w:val="16"/>
              </w:rPr>
              <w:t>Enroll Hub</w:t>
            </w:r>
            <w:r w:rsidRPr="003761A6">
              <w:rPr>
                <w:color w:val="000000" w:themeColor="text1"/>
                <w:sz w:val="16"/>
                <w:szCs w:val="16"/>
              </w:rPr>
              <w:t>, or via Change Healthcare as may be recommended by your PMS, or directly with the payer – requires some lead time (</w:t>
            </w:r>
            <w:r w:rsidR="009128FD" w:rsidRPr="003761A6">
              <w:rPr>
                <w:color w:val="000000" w:themeColor="text1"/>
                <w:sz w:val="16"/>
                <w:szCs w:val="16"/>
              </w:rPr>
              <w:t xml:space="preserve">up to 30 days) </w:t>
            </w:r>
            <w:r w:rsidR="003116EF" w:rsidRPr="003761A6">
              <w:rPr>
                <w:color w:val="000000" w:themeColor="text1"/>
                <w:sz w:val="16"/>
                <w:szCs w:val="16"/>
              </w:rPr>
              <w:t>before first payment by EFT</w:t>
            </w:r>
            <w:r w:rsidR="009128FD" w:rsidRPr="003761A6">
              <w:rPr>
                <w:color w:val="000000" w:themeColor="text1"/>
                <w:sz w:val="16"/>
                <w:szCs w:val="16"/>
              </w:rPr>
              <w:t>.</w:t>
            </w:r>
          </w:p>
        </w:tc>
      </w:tr>
      <w:tr w:rsidR="00C24027" w:rsidRPr="003761A6" w14:paraId="6B68FF6F" w14:textId="77777777" w:rsidTr="00AB0AE1">
        <w:trPr>
          <w:cantSplit/>
        </w:trPr>
        <w:tc>
          <w:tcPr>
            <w:tcW w:w="445" w:type="dxa"/>
            <w:vAlign w:val="center"/>
          </w:tcPr>
          <w:p w14:paraId="2C0D5911" w14:textId="77777777" w:rsidR="00C24027" w:rsidRPr="003761A6" w:rsidRDefault="00C24027" w:rsidP="00B01352">
            <w:pPr>
              <w:pStyle w:val="ListParagraph"/>
              <w:numPr>
                <w:ilvl w:val="0"/>
                <w:numId w:val="17"/>
              </w:numPr>
              <w:spacing w:before="120" w:after="120"/>
              <w:ind w:left="360"/>
              <w:rPr>
                <w:color w:val="000000" w:themeColor="text1"/>
                <w:sz w:val="16"/>
                <w:szCs w:val="16"/>
              </w:rPr>
            </w:pPr>
          </w:p>
        </w:tc>
        <w:sdt>
          <w:sdtPr>
            <w:rPr>
              <w:color w:val="000000" w:themeColor="text1"/>
              <w:sz w:val="16"/>
              <w:szCs w:val="16"/>
            </w:rPr>
            <w:id w:val="775218156"/>
            <w14:checkbox>
              <w14:checked w14:val="0"/>
              <w14:checkedState w14:val="2612" w14:font="MS Gothic"/>
              <w14:uncheckedState w14:val="2610" w14:font="MS Gothic"/>
            </w14:checkbox>
          </w:sdtPr>
          <w:sdtEndPr/>
          <w:sdtContent>
            <w:tc>
              <w:tcPr>
                <w:tcW w:w="727" w:type="dxa"/>
                <w:vAlign w:val="center"/>
              </w:tcPr>
              <w:p w14:paraId="171EB9D2" w14:textId="77777777" w:rsidR="00C24027" w:rsidRPr="003761A6" w:rsidRDefault="00C24027" w:rsidP="00B01352">
                <w:pPr>
                  <w:spacing w:before="120" w:after="120"/>
                  <w:jc w:val="center"/>
                  <w:rPr>
                    <w:color w:val="000000" w:themeColor="text1"/>
                    <w:sz w:val="16"/>
                    <w:szCs w:val="16"/>
                  </w:rPr>
                </w:pPr>
                <w:r w:rsidRPr="003761A6">
                  <w:rPr>
                    <w:rFonts w:ascii="Segoe UI Symbol" w:eastAsia="MS Gothic" w:hAnsi="Segoe UI Symbol" w:cs="Segoe UI Symbol"/>
                    <w:color w:val="000000" w:themeColor="text1"/>
                    <w:sz w:val="16"/>
                    <w:szCs w:val="16"/>
                  </w:rPr>
                  <w:t>☐</w:t>
                </w:r>
              </w:p>
            </w:tc>
          </w:sdtContent>
        </w:sdt>
        <w:tc>
          <w:tcPr>
            <w:tcW w:w="3436" w:type="dxa"/>
            <w:vAlign w:val="center"/>
          </w:tcPr>
          <w:p w14:paraId="10CB5C33" w14:textId="533F1DBD" w:rsidR="00C24027" w:rsidRPr="003761A6" w:rsidRDefault="003116EF" w:rsidP="003116EF">
            <w:pPr>
              <w:spacing w:before="120" w:after="120"/>
              <w:rPr>
                <w:color w:val="000000" w:themeColor="text1"/>
                <w:sz w:val="16"/>
                <w:szCs w:val="16"/>
              </w:rPr>
            </w:pPr>
            <w:r w:rsidRPr="003761A6">
              <w:rPr>
                <w:color w:val="000000" w:themeColor="text1"/>
                <w:sz w:val="16"/>
                <w:szCs w:val="16"/>
              </w:rPr>
              <w:t>Meet with staff to r</w:t>
            </w:r>
            <w:r w:rsidR="00F11351" w:rsidRPr="003761A6">
              <w:rPr>
                <w:color w:val="000000" w:themeColor="text1"/>
                <w:sz w:val="16"/>
                <w:szCs w:val="16"/>
              </w:rPr>
              <w:t xml:space="preserve">eview implementation plan and processes </w:t>
            </w:r>
            <w:r w:rsidRPr="003761A6">
              <w:rPr>
                <w:color w:val="000000" w:themeColor="text1"/>
                <w:sz w:val="16"/>
                <w:szCs w:val="16"/>
              </w:rPr>
              <w:t>for</w:t>
            </w:r>
            <w:r w:rsidR="00F11351" w:rsidRPr="003761A6">
              <w:rPr>
                <w:color w:val="000000" w:themeColor="text1"/>
                <w:sz w:val="16"/>
                <w:szCs w:val="16"/>
              </w:rPr>
              <w:t xml:space="preserve"> post</w:t>
            </w:r>
            <w:r w:rsidRPr="003761A6">
              <w:rPr>
                <w:color w:val="000000" w:themeColor="text1"/>
                <w:sz w:val="16"/>
                <w:szCs w:val="16"/>
              </w:rPr>
              <w:t>ing</w:t>
            </w:r>
            <w:r w:rsidR="00F11351" w:rsidRPr="003761A6">
              <w:rPr>
                <w:color w:val="000000" w:themeColor="text1"/>
                <w:sz w:val="16"/>
                <w:szCs w:val="16"/>
              </w:rPr>
              <w:t xml:space="preserve"> and reconcil</w:t>
            </w:r>
            <w:r w:rsidRPr="003761A6">
              <w:rPr>
                <w:color w:val="000000" w:themeColor="text1"/>
                <w:sz w:val="16"/>
                <w:szCs w:val="16"/>
              </w:rPr>
              <w:t>ing</w:t>
            </w:r>
            <w:r w:rsidR="00F11351" w:rsidRPr="003761A6">
              <w:rPr>
                <w:color w:val="000000" w:themeColor="text1"/>
                <w:sz w:val="16"/>
                <w:szCs w:val="16"/>
              </w:rPr>
              <w:t xml:space="preserve"> EFT payments.</w:t>
            </w:r>
          </w:p>
        </w:tc>
        <w:tc>
          <w:tcPr>
            <w:tcW w:w="5850" w:type="dxa"/>
            <w:vAlign w:val="center"/>
          </w:tcPr>
          <w:p w14:paraId="1F65BC03" w14:textId="77777777" w:rsidR="003713F6" w:rsidRDefault="003116EF" w:rsidP="00D04CC0">
            <w:pPr>
              <w:spacing w:before="120" w:after="0"/>
              <w:rPr>
                <w:color w:val="000000" w:themeColor="text1"/>
                <w:sz w:val="16"/>
                <w:szCs w:val="16"/>
              </w:rPr>
            </w:pPr>
            <w:r w:rsidRPr="003761A6">
              <w:rPr>
                <w:color w:val="000000" w:themeColor="text1"/>
                <w:sz w:val="16"/>
                <w:szCs w:val="16"/>
              </w:rPr>
              <w:t>Successful implementation requires staff understanding of the reasons for and steps involved in the new claim payment process.</w:t>
            </w:r>
            <w:r w:rsidR="005B37A0">
              <w:rPr>
                <w:color w:val="000000" w:themeColor="text1"/>
                <w:sz w:val="16"/>
                <w:szCs w:val="16"/>
              </w:rPr>
              <w:t xml:space="preserve">  This includes</w:t>
            </w:r>
            <w:r w:rsidR="003713F6">
              <w:rPr>
                <w:color w:val="000000" w:themeColor="text1"/>
                <w:sz w:val="16"/>
                <w:szCs w:val="16"/>
              </w:rPr>
              <w:t>:</w:t>
            </w:r>
          </w:p>
          <w:p w14:paraId="69F223A6" w14:textId="492CBB90" w:rsidR="003713F6" w:rsidRPr="00D04CC0" w:rsidRDefault="003713F6" w:rsidP="00D04CC0">
            <w:pPr>
              <w:pStyle w:val="ListParagraph"/>
              <w:numPr>
                <w:ilvl w:val="0"/>
                <w:numId w:val="25"/>
              </w:numPr>
              <w:spacing w:after="120"/>
              <w:ind w:left="346"/>
              <w:rPr>
                <w:color w:val="000000" w:themeColor="text1"/>
                <w:sz w:val="16"/>
                <w:szCs w:val="16"/>
              </w:rPr>
            </w:pPr>
            <w:r w:rsidRPr="00D04CC0">
              <w:rPr>
                <w:color w:val="000000" w:themeColor="text1"/>
                <w:sz w:val="16"/>
                <w:szCs w:val="16"/>
              </w:rPr>
              <w:t>U</w:t>
            </w:r>
            <w:r w:rsidR="005B37A0" w:rsidRPr="00D04CC0">
              <w:rPr>
                <w:color w:val="000000" w:themeColor="text1"/>
                <w:sz w:val="16"/>
                <w:szCs w:val="16"/>
              </w:rPr>
              <w:t>nderstanding the</w:t>
            </w:r>
            <w:r w:rsidR="00D04CC0" w:rsidRPr="00D04CC0">
              <w:rPr>
                <w:color w:val="000000" w:themeColor="text1"/>
                <w:sz w:val="16"/>
                <w:szCs w:val="16"/>
              </w:rPr>
              <w:t xml:space="preserve"> bank’s </w:t>
            </w:r>
            <w:r w:rsidRPr="00D04CC0">
              <w:rPr>
                <w:color w:val="000000" w:themeColor="text1"/>
                <w:sz w:val="16"/>
                <w:szCs w:val="16"/>
              </w:rPr>
              <w:t xml:space="preserve">EFT deposit notification’s format and </w:t>
            </w:r>
            <w:r w:rsidR="005B37A0" w:rsidRPr="00D04CC0">
              <w:rPr>
                <w:color w:val="000000" w:themeColor="text1"/>
                <w:sz w:val="16"/>
                <w:szCs w:val="16"/>
              </w:rPr>
              <w:t>level of detail</w:t>
            </w:r>
          </w:p>
          <w:p w14:paraId="61555F79" w14:textId="21DF1C72" w:rsidR="003713F6" w:rsidRPr="00D04CC0" w:rsidRDefault="003713F6" w:rsidP="00D04CC0">
            <w:pPr>
              <w:pStyle w:val="ListParagraph"/>
              <w:numPr>
                <w:ilvl w:val="0"/>
                <w:numId w:val="25"/>
              </w:numPr>
              <w:spacing w:before="120" w:after="120"/>
              <w:ind w:left="342"/>
              <w:rPr>
                <w:color w:val="000000" w:themeColor="text1"/>
                <w:sz w:val="16"/>
                <w:szCs w:val="16"/>
              </w:rPr>
            </w:pPr>
            <w:r w:rsidRPr="00D04CC0">
              <w:rPr>
                <w:color w:val="000000" w:themeColor="text1"/>
                <w:sz w:val="16"/>
                <w:szCs w:val="16"/>
              </w:rPr>
              <w:t>How this deposit information matches explanation of benefit (EOB or payment) information provided by the payer either on paper or via the payer’s online provider portal</w:t>
            </w:r>
          </w:p>
          <w:p w14:paraId="649CB8C3" w14:textId="66544B37" w:rsidR="00C24027" w:rsidRPr="00D04CC0" w:rsidRDefault="00D04CC0" w:rsidP="00F33B87">
            <w:pPr>
              <w:pStyle w:val="ListParagraph"/>
              <w:numPr>
                <w:ilvl w:val="0"/>
                <w:numId w:val="25"/>
              </w:numPr>
              <w:spacing w:before="120" w:after="120"/>
              <w:ind w:left="346"/>
              <w:rPr>
                <w:color w:val="000000" w:themeColor="text1"/>
                <w:sz w:val="16"/>
                <w:szCs w:val="16"/>
              </w:rPr>
            </w:pPr>
            <w:r w:rsidRPr="00D04CC0">
              <w:rPr>
                <w:color w:val="000000" w:themeColor="text1"/>
                <w:sz w:val="16"/>
                <w:szCs w:val="16"/>
              </w:rPr>
              <w:t>When to ignore i</w:t>
            </w:r>
            <w:r w:rsidR="003713F6" w:rsidRPr="00D04CC0">
              <w:rPr>
                <w:color w:val="000000" w:themeColor="text1"/>
                <w:sz w:val="16"/>
                <w:szCs w:val="16"/>
              </w:rPr>
              <w:t>nformation on the EFT</w:t>
            </w:r>
            <w:r w:rsidRPr="00D04CC0">
              <w:rPr>
                <w:color w:val="000000" w:themeColor="text1"/>
                <w:sz w:val="16"/>
                <w:szCs w:val="16"/>
              </w:rPr>
              <w:t xml:space="preserve"> deposit notification</w:t>
            </w:r>
            <w:r w:rsidR="003713F6" w:rsidRPr="00D04CC0">
              <w:rPr>
                <w:color w:val="000000" w:themeColor="text1"/>
                <w:sz w:val="16"/>
                <w:szCs w:val="16"/>
              </w:rPr>
              <w:t xml:space="preserve"> that </w:t>
            </w:r>
            <w:r w:rsidRPr="00D04CC0">
              <w:rPr>
                <w:color w:val="000000" w:themeColor="text1"/>
                <w:sz w:val="16"/>
                <w:szCs w:val="16"/>
              </w:rPr>
              <w:t xml:space="preserve">is </w:t>
            </w:r>
            <w:r w:rsidR="003713F6" w:rsidRPr="00D04CC0">
              <w:rPr>
                <w:color w:val="000000" w:themeColor="text1"/>
                <w:sz w:val="16"/>
                <w:szCs w:val="16"/>
              </w:rPr>
              <w:t>only relevant when the practice also receives an electronic remittance advice directly from the payer</w:t>
            </w:r>
            <w:r w:rsidRPr="00D04CC0">
              <w:rPr>
                <w:color w:val="000000" w:themeColor="text1"/>
                <w:sz w:val="16"/>
                <w:szCs w:val="16"/>
              </w:rPr>
              <w:t>, instead of receiving a paper or online</w:t>
            </w:r>
            <w:r w:rsidR="003713F6" w:rsidRPr="00D04CC0">
              <w:rPr>
                <w:color w:val="000000" w:themeColor="text1"/>
                <w:sz w:val="16"/>
                <w:szCs w:val="16"/>
              </w:rPr>
              <w:t xml:space="preserve"> EOB</w:t>
            </w:r>
            <w:r w:rsidRPr="00D04CC0">
              <w:rPr>
                <w:color w:val="000000" w:themeColor="text1"/>
                <w:sz w:val="16"/>
                <w:szCs w:val="16"/>
              </w:rPr>
              <w:t xml:space="preserve"> </w:t>
            </w:r>
            <w:r w:rsidR="003713F6" w:rsidRPr="00D04CC0">
              <w:rPr>
                <w:color w:val="000000" w:themeColor="text1"/>
                <w:sz w:val="16"/>
                <w:szCs w:val="16"/>
              </w:rPr>
              <w:t>(e.g., reconciliation trace number).</w:t>
            </w:r>
          </w:p>
        </w:tc>
      </w:tr>
      <w:tr w:rsidR="006A7F90" w:rsidRPr="003761A6" w14:paraId="69C3ADE0" w14:textId="77777777" w:rsidTr="00AB0AE1">
        <w:trPr>
          <w:cantSplit/>
        </w:trPr>
        <w:tc>
          <w:tcPr>
            <w:tcW w:w="445" w:type="dxa"/>
            <w:vAlign w:val="center"/>
          </w:tcPr>
          <w:p w14:paraId="2C162601" w14:textId="77777777" w:rsidR="006A7F90" w:rsidRPr="003761A6" w:rsidRDefault="006A7F90" w:rsidP="00B01352">
            <w:pPr>
              <w:pStyle w:val="ListParagraph"/>
              <w:numPr>
                <w:ilvl w:val="0"/>
                <w:numId w:val="17"/>
              </w:numPr>
              <w:spacing w:before="120" w:after="120"/>
              <w:ind w:left="360"/>
              <w:rPr>
                <w:color w:val="000000" w:themeColor="text1"/>
                <w:sz w:val="16"/>
                <w:szCs w:val="16"/>
              </w:rPr>
            </w:pPr>
          </w:p>
        </w:tc>
        <w:sdt>
          <w:sdtPr>
            <w:rPr>
              <w:color w:val="000000" w:themeColor="text1"/>
              <w:sz w:val="16"/>
              <w:szCs w:val="16"/>
            </w:rPr>
            <w:id w:val="285558762"/>
            <w14:checkbox>
              <w14:checked w14:val="0"/>
              <w14:checkedState w14:val="2612" w14:font="MS Gothic"/>
              <w14:uncheckedState w14:val="2610" w14:font="MS Gothic"/>
            </w14:checkbox>
          </w:sdtPr>
          <w:sdtEndPr/>
          <w:sdtContent>
            <w:tc>
              <w:tcPr>
                <w:tcW w:w="727" w:type="dxa"/>
                <w:vAlign w:val="center"/>
              </w:tcPr>
              <w:p w14:paraId="68BCB4CD" w14:textId="15083F8C" w:rsidR="006A7F90" w:rsidRDefault="006A7F90" w:rsidP="00B01352">
                <w:pPr>
                  <w:spacing w:before="120" w:after="120"/>
                  <w:jc w:val="center"/>
                  <w:rPr>
                    <w:color w:val="000000" w:themeColor="text1"/>
                    <w:sz w:val="16"/>
                    <w:szCs w:val="16"/>
                  </w:rPr>
                </w:pPr>
                <w:r>
                  <w:rPr>
                    <w:rFonts w:ascii="MS Gothic" w:eastAsia="MS Gothic" w:hAnsi="MS Gothic" w:hint="eastAsia"/>
                    <w:color w:val="000000" w:themeColor="text1"/>
                    <w:sz w:val="16"/>
                    <w:szCs w:val="16"/>
                  </w:rPr>
                  <w:t>☐</w:t>
                </w:r>
              </w:p>
            </w:tc>
          </w:sdtContent>
        </w:sdt>
        <w:tc>
          <w:tcPr>
            <w:tcW w:w="3436" w:type="dxa"/>
            <w:vAlign w:val="center"/>
          </w:tcPr>
          <w:p w14:paraId="2A70FE68" w14:textId="3D9EB02E" w:rsidR="006A7F90" w:rsidRPr="003761A6" w:rsidRDefault="006A7F90" w:rsidP="003116EF">
            <w:pPr>
              <w:spacing w:before="120" w:after="120"/>
              <w:rPr>
                <w:color w:val="000000" w:themeColor="text1"/>
                <w:sz w:val="16"/>
                <w:szCs w:val="16"/>
              </w:rPr>
            </w:pPr>
            <w:r>
              <w:rPr>
                <w:color w:val="000000" w:themeColor="text1"/>
                <w:sz w:val="16"/>
                <w:szCs w:val="16"/>
              </w:rPr>
              <w:t xml:space="preserve">Establish practice administrative workflow to reconcile EFT payments with EOB information on paper or </w:t>
            </w:r>
            <w:r w:rsidR="00EC2F50">
              <w:rPr>
                <w:color w:val="000000" w:themeColor="text1"/>
                <w:sz w:val="16"/>
                <w:szCs w:val="16"/>
              </w:rPr>
              <w:t>posted online at payers’ provider portals.</w:t>
            </w:r>
          </w:p>
        </w:tc>
        <w:tc>
          <w:tcPr>
            <w:tcW w:w="5850" w:type="dxa"/>
            <w:vAlign w:val="center"/>
          </w:tcPr>
          <w:p w14:paraId="38F3B3F8" w14:textId="77777777" w:rsidR="00EF0237" w:rsidRDefault="00D05C0B" w:rsidP="00F33B87">
            <w:pPr>
              <w:spacing w:before="120" w:after="0"/>
              <w:rPr>
                <w:color w:val="000000" w:themeColor="text1"/>
                <w:sz w:val="16"/>
                <w:szCs w:val="16"/>
              </w:rPr>
            </w:pPr>
            <w:r>
              <w:rPr>
                <w:color w:val="000000" w:themeColor="text1"/>
                <w:sz w:val="16"/>
                <w:szCs w:val="16"/>
              </w:rPr>
              <w:t xml:space="preserve">Existing workflows for reconciling receivables with payments by paper check will continue for payments via EFT.  The notable difference is that there will no longer be a need for practice staff to deposit reimbursement checks.  </w:t>
            </w:r>
            <w:r w:rsidR="00EF0237">
              <w:rPr>
                <w:color w:val="000000" w:themeColor="text1"/>
                <w:sz w:val="16"/>
                <w:szCs w:val="16"/>
              </w:rPr>
              <w:t>Otherwise:</w:t>
            </w:r>
          </w:p>
          <w:p w14:paraId="57F57F20" w14:textId="77777777" w:rsidR="00EF0237" w:rsidRPr="00EF0237" w:rsidRDefault="00D05C0B" w:rsidP="00F33B87">
            <w:pPr>
              <w:pStyle w:val="ListParagraph"/>
              <w:numPr>
                <w:ilvl w:val="0"/>
                <w:numId w:val="26"/>
              </w:numPr>
              <w:spacing w:after="120"/>
              <w:ind w:left="346"/>
              <w:rPr>
                <w:color w:val="000000" w:themeColor="text1"/>
                <w:sz w:val="16"/>
                <w:szCs w:val="16"/>
              </w:rPr>
            </w:pPr>
            <w:r w:rsidRPr="00EF0237">
              <w:rPr>
                <w:color w:val="000000" w:themeColor="text1"/>
                <w:sz w:val="16"/>
                <w:szCs w:val="16"/>
              </w:rPr>
              <w:t>Staff will</w:t>
            </w:r>
            <w:r w:rsidR="00EF0237" w:rsidRPr="00EF0237">
              <w:rPr>
                <w:color w:val="000000" w:themeColor="text1"/>
                <w:sz w:val="16"/>
                <w:szCs w:val="16"/>
              </w:rPr>
              <w:t xml:space="preserve"> r</w:t>
            </w:r>
            <w:r w:rsidRPr="00EF0237">
              <w:rPr>
                <w:color w:val="000000" w:themeColor="text1"/>
                <w:sz w:val="16"/>
                <w:szCs w:val="16"/>
              </w:rPr>
              <w:t xml:space="preserve">econcile </w:t>
            </w:r>
            <w:r w:rsidR="00EF0237" w:rsidRPr="00EF0237">
              <w:rPr>
                <w:color w:val="000000" w:themeColor="text1"/>
                <w:sz w:val="16"/>
                <w:szCs w:val="16"/>
              </w:rPr>
              <w:t>using EFT payment information pushed (e.g. fax; email) or pulled (e.g., online banking inquiry) from the practice’s bank.</w:t>
            </w:r>
          </w:p>
          <w:p w14:paraId="4BDC9EC4" w14:textId="4BF98D3F" w:rsidR="006A7F90" w:rsidRPr="00EF0237" w:rsidRDefault="00EF0237" w:rsidP="00F33B87">
            <w:pPr>
              <w:pStyle w:val="ListParagraph"/>
              <w:numPr>
                <w:ilvl w:val="0"/>
                <w:numId w:val="26"/>
              </w:numPr>
              <w:spacing w:before="120" w:after="120"/>
              <w:ind w:left="346"/>
              <w:rPr>
                <w:color w:val="000000" w:themeColor="text1"/>
                <w:sz w:val="16"/>
                <w:szCs w:val="16"/>
              </w:rPr>
            </w:pPr>
            <w:r w:rsidRPr="00EF0237">
              <w:rPr>
                <w:color w:val="000000" w:themeColor="text1"/>
                <w:sz w:val="16"/>
                <w:szCs w:val="16"/>
              </w:rPr>
              <w:lastRenderedPageBreak/>
              <w:t>Individual or bulk claim payment information reconciliation, including receivables adjustments as necessary, will mirror the processes in place for payments by paper check.</w:t>
            </w:r>
          </w:p>
        </w:tc>
      </w:tr>
      <w:tr w:rsidR="00E726E5" w:rsidRPr="003761A6" w14:paraId="0623A9C4" w14:textId="77777777" w:rsidTr="00531FBD">
        <w:tc>
          <w:tcPr>
            <w:tcW w:w="445" w:type="dxa"/>
            <w:vAlign w:val="center"/>
          </w:tcPr>
          <w:p w14:paraId="0D5F6EDD" w14:textId="784BF8F2" w:rsidR="00E726E5" w:rsidRPr="003761A6" w:rsidRDefault="00E726E5" w:rsidP="00531FBD">
            <w:pPr>
              <w:pStyle w:val="ListParagraph"/>
              <w:numPr>
                <w:ilvl w:val="0"/>
                <w:numId w:val="17"/>
              </w:numPr>
              <w:spacing w:before="120" w:after="120"/>
              <w:ind w:left="360"/>
              <w:rPr>
                <w:color w:val="000000" w:themeColor="text1"/>
                <w:sz w:val="16"/>
                <w:szCs w:val="16"/>
              </w:rPr>
            </w:pPr>
          </w:p>
        </w:tc>
        <w:sdt>
          <w:sdtPr>
            <w:rPr>
              <w:color w:val="000000" w:themeColor="text1"/>
              <w:sz w:val="16"/>
              <w:szCs w:val="16"/>
            </w:rPr>
            <w:id w:val="-1764760250"/>
            <w14:checkbox>
              <w14:checked w14:val="0"/>
              <w14:checkedState w14:val="2612" w14:font="MS Gothic"/>
              <w14:uncheckedState w14:val="2610" w14:font="MS Gothic"/>
            </w14:checkbox>
          </w:sdtPr>
          <w:sdtEndPr/>
          <w:sdtContent>
            <w:tc>
              <w:tcPr>
                <w:tcW w:w="727" w:type="dxa"/>
                <w:vAlign w:val="center"/>
              </w:tcPr>
              <w:p w14:paraId="212CBFBF" w14:textId="6903CF75" w:rsidR="00E726E5" w:rsidRPr="003761A6" w:rsidRDefault="00531FBD" w:rsidP="00531FBD">
                <w:pPr>
                  <w:spacing w:before="120" w:after="120"/>
                  <w:jc w:val="center"/>
                  <w:rPr>
                    <w:color w:val="000000" w:themeColor="text1"/>
                    <w:sz w:val="16"/>
                    <w:szCs w:val="16"/>
                  </w:rPr>
                </w:pPr>
                <w:r>
                  <w:rPr>
                    <w:rFonts w:ascii="MS Gothic" w:eastAsia="MS Gothic" w:hAnsi="MS Gothic" w:hint="eastAsia"/>
                    <w:color w:val="000000" w:themeColor="text1"/>
                    <w:sz w:val="16"/>
                    <w:szCs w:val="16"/>
                  </w:rPr>
                  <w:t>☐</w:t>
                </w:r>
              </w:p>
            </w:tc>
          </w:sdtContent>
        </w:sdt>
        <w:tc>
          <w:tcPr>
            <w:tcW w:w="3436" w:type="dxa"/>
            <w:vAlign w:val="center"/>
          </w:tcPr>
          <w:p w14:paraId="4CC4C359" w14:textId="77777777" w:rsidR="00E726E5" w:rsidRPr="003761A6" w:rsidRDefault="00E726E5" w:rsidP="00531FBD">
            <w:pPr>
              <w:spacing w:before="120" w:after="120"/>
              <w:rPr>
                <w:color w:val="000000" w:themeColor="text1"/>
                <w:sz w:val="16"/>
                <w:szCs w:val="16"/>
              </w:rPr>
            </w:pPr>
            <w:r w:rsidRPr="003761A6">
              <w:rPr>
                <w:color w:val="000000" w:themeColor="text1"/>
                <w:sz w:val="16"/>
                <w:szCs w:val="16"/>
              </w:rPr>
              <w:t>Establish and implement a periodic review of the EFT process.</w:t>
            </w:r>
          </w:p>
        </w:tc>
        <w:tc>
          <w:tcPr>
            <w:tcW w:w="5850" w:type="dxa"/>
            <w:vAlign w:val="center"/>
          </w:tcPr>
          <w:p w14:paraId="338719AE" w14:textId="77777777" w:rsidR="00E726E5" w:rsidRPr="003761A6" w:rsidRDefault="00E726E5" w:rsidP="00531FBD">
            <w:pPr>
              <w:spacing w:before="120" w:after="0"/>
              <w:rPr>
                <w:color w:val="000000" w:themeColor="text1"/>
                <w:sz w:val="16"/>
                <w:szCs w:val="16"/>
              </w:rPr>
            </w:pPr>
            <w:r w:rsidRPr="003761A6">
              <w:rPr>
                <w:color w:val="000000" w:themeColor="text1"/>
                <w:sz w:val="16"/>
                <w:szCs w:val="16"/>
              </w:rPr>
              <w:t>Frequent (e.g., weekly) review during the initial implementation ensures that any revealed issues are quickly addressed.  The review identifies:</w:t>
            </w:r>
          </w:p>
          <w:p w14:paraId="60F0F4B6" w14:textId="77777777" w:rsidR="00E726E5" w:rsidRPr="003761A6" w:rsidRDefault="00E726E5" w:rsidP="00531FBD">
            <w:pPr>
              <w:pStyle w:val="ListParagraph"/>
              <w:numPr>
                <w:ilvl w:val="0"/>
                <w:numId w:val="24"/>
              </w:numPr>
              <w:spacing w:after="120"/>
              <w:ind w:left="346"/>
              <w:rPr>
                <w:color w:val="000000" w:themeColor="text1"/>
                <w:sz w:val="16"/>
                <w:szCs w:val="16"/>
              </w:rPr>
            </w:pPr>
            <w:r w:rsidRPr="003761A6">
              <w:rPr>
                <w:color w:val="000000" w:themeColor="text1"/>
                <w:sz w:val="16"/>
                <w:szCs w:val="16"/>
              </w:rPr>
              <w:t>Successful aspects of adopting EFT</w:t>
            </w:r>
          </w:p>
          <w:p w14:paraId="16E8D56B" w14:textId="77777777" w:rsidR="00E726E5" w:rsidRPr="003761A6" w:rsidRDefault="00E726E5" w:rsidP="00531FBD">
            <w:pPr>
              <w:pStyle w:val="ListParagraph"/>
              <w:numPr>
                <w:ilvl w:val="0"/>
                <w:numId w:val="24"/>
              </w:numPr>
              <w:spacing w:before="120" w:after="120"/>
              <w:ind w:left="342"/>
              <w:rPr>
                <w:color w:val="000000" w:themeColor="text1"/>
                <w:sz w:val="16"/>
                <w:szCs w:val="16"/>
              </w:rPr>
            </w:pPr>
            <w:r w:rsidRPr="003761A6">
              <w:rPr>
                <w:color w:val="000000" w:themeColor="text1"/>
                <w:sz w:val="16"/>
                <w:szCs w:val="16"/>
              </w:rPr>
              <w:t>Areas where expected results have not been achieved</w:t>
            </w:r>
          </w:p>
          <w:p w14:paraId="7D50218A" w14:textId="77777777" w:rsidR="00E726E5" w:rsidRPr="003761A6" w:rsidRDefault="00E726E5" w:rsidP="00531FBD">
            <w:pPr>
              <w:pStyle w:val="ListParagraph"/>
              <w:numPr>
                <w:ilvl w:val="0"/>
                <w:numId w:val="24"/>
              </w:numPr>
              <w:spacing w:before="120" w:after="120"/>
              <w:ind w:left="342"/>
              <w:rPr>
                <w:color w:val="000000" w:themeColor="text1"/>
                <w:sz w:val="16"/>
                <w:szCs w:val="16"/>
              </w:rPr>
            </w:pPr>
            <w:r w:rsidRPr="003761A6">
              <w:rPr>
                <w:color w:val="000000" w:themeColor="text1"/>
                <w:sz w:val="16"/>
                <w:szCs w:val="16"/>
              </w:rPr>
              <w:t>Remedial action that is needed</w:t>
            </w:r>
          </w:p>
        </w:tc>
      </w:tr>
    </w:tbl>
    <w:p w14:paraId="330F57B3" w14:textId="1AEFD4F2" w:rsidR="00813CC4" w:rsidRPr="003761A6" w:rsidRDefault="003922C7" w:rsidP="008E4C6E">
      <w:pPr>
        <w:spacing w:before="240" w:after="120"/>
        <w:jc w:val="center"/>
        <w:rPr>
          <w:color w:val="00B050"/>
        </w:rPr>
      </w:pPr>
      <w:r w:rsidRPr="003761A6">
        <w:rPr>
          <w:color w:val="00B050"/>
        </w:rPr>
        <w:t>Part 4 – Additional EFT Implementations</w:t>
      </w:r>
    </w:p>
    <w:p w14:paraId="562D4A6C" w14:textId="0C07A6E4" w:rsidR="003922C7" w:rsidRPr="008E4C6E" w:rsidRDefault="00E726E5" w:rsidP="003922C7">
      <w:pPr>
        <w:spacing w:after="120"/>
        <w:ind w:right="-36"/>
        <w:rPr>
          <w:color w:val="000000" w:themeColor="text1"/>
          <w:sz w:val="18"/>
          <w:szCs w:val="18"/>
        </w:rPr>
      </w:pPr>
      <w:r w:rsidRPr="008E4C6E">
        <w:rPr>
          <w:color w:val="000000" w:themeColor="text1"/>
          <w:sz w:val="18"/>
          <w:szCs w:val="18"/>
        </w:rPr>
        <w:t>The first phase of your EFT implementation, #s 1 through 12 on this checklist, is the foundation for expansion.  This initial EFT implementation experience will help determine when to best extend this payment mechanism to other third-party payers who reimburse the practice directly for services rendered to patients.</w:t>
      </w:r>
    </w:p>
    <w:tbl>
      <w:tblPr>
        <w:tblStyle w:val="TableGrid"/>
        <w:tblW w:w="10458" w:type="dxa"/>
        <w:tblInd w:w="-113" w:type="dxa"/>
        <w:tblLook w:val="04A0" w:firstRow="1" w:lastRow="0" w:firstColumn="1" w:lastColumn="0" w:noHBand="0" w:noVBand="1"/>
      </w:tblPr>
      <w:tblGrid>
        <w:gridCol w:w="445"/>
        <w:gridCol w:w="727"/>
        <w:gridCol w:w="3436"/>
        <w:gridCol w:w="5850"/>
      </w:tblGrid>
      <w:tr w:rsidR="003922C7" w:rsidRPr="008E4C6E" w14:paraId="2D5DCE32" w14:textId="77777777" w:rsidTr="00AB0AE1">
        <w:tc>
          <w:tcPr>
            <w:tcW w:w="445" w:type="dxa"/>
            <w:shd w:val="clear" w:color="auto" w:fill="D9D9D9" w:themeFill="background1" w:themeFillShade="D9"/>
            <w:vAlign w:val="center"/>
          </w:tcPr>
          <w:p w14:paraId="2EF26ECB" w14:textId="77777777" w:rsidR="003922C7" w:rsidRPr="008E4C6E" w:rsidRDefault="003922C7" w:rsidP="003F5056">
            <w:pPr>
              <w:spacing w:before="60" w:after="60"/>
              <w:jc w:val="center"/>
              <w:rPr>
                <w:color w:val="000000" w:themeColor="text1"/>
                <w:sz w:val="18"/>
                <w:szCs w:val="18"/>
              </w:rPr>
            </w:pPr>
            <w:r w:rsidRPr="008E4C6E">
              <w:rPr>
                <w:color w:val="000000" w:themeColor="text1"/>
                <w:sz w:val="18"/>
                <w:szCs w:val="18"/>
              </w:rPr>
              <w:t>#</w:t>
            </w:r>
          </w:p>
        </w:tc>
        <w:tc>
          <w:tcPr>
            <w:tcW w:w="727" w:type="dxa"/>
            <w:shd w:val="clear" w:color="auto" w:fill="D9D9D9" w:themeFill="background1" w:themeFillShade="D9"/>
            <w:vAlign w:val="center"/>
          </w:tcPr>
          <w:p w14:paraId="25912D0D" w14:textId="77777777" w:rsidR="003922C7" w:rsidRPr="008E4C6E" w:rsidRDefault="003922C7" w:rsidP="003F5056">
            <w:pPr>
              <w:spacing w:before="60" w:after="60"/>
              <w:jc w:val="center"/>
              <w:rPr>
                <w:color w:val="000000" w:themeColor="text1"/>
                <w:sz w:val="18"/>
                <w:szCs w:val="18"/>
              </w:rPr>
            </w:pPr>
            <w:r w:rsidRPr="008E4C6E">
              <w:rPr>
                <w:color w:val="000000" w:themeColor="text1"/>
                <w:sz w:val="18"/>
                <w:szCs w:val="18"/>
              </w:rPr>
              <w:t>Check</w:t>
            </w:r>
          </w:p>
        </w:tc>
        <w:tc>
          <w:tcPr>
            <w:tcW w:w="3436" w:type="dxa"/>
            <w:shd w:val="clear" w:color="auto" w:fill="D9D9D9" w:themeFill="background1" w:themeFillShade="D9"/>
            <w:vAlign w:val="center"/>
          </w:tcPr>
          <w:p w14:paraId="4D7A1441" w14:textId="77777777" w:rsidR="003922C7" w:rsidRPr="008E4C6E" w:rsidRDefault="003922C7" w:rsidP="003F5056">
            <w:pPr>
              <w:spacing w:before="60" w:after="60"/>
              <w:jc w:val="center"/>
              <w:rPr>
                <w:color w:val="000000" w:themeColor="text1"/>
                <w:sz w:val="18"/>
                <w:szCs w:val="18"/>
              </w:rPr>
            </w:pPr>
            <w:r w:rsidRPr="008E4C6E">
              <w:rPr>
                <w:color w:val="000000" w:themeColor="text1"/>
                <w:sz w:val="18"/>
                <w:szCs w:val="18"/>
              </w:rPr>
              <w:t>Action</w:t>
            </w:r>
          </w:p>
        </w:tc>
        <w:tc>
          <w:tcPr>
            <w:tcW w:w="5850" w:type="dxa"/>
            <w:shd w:val="clear" w:color="auto" w:fill="D9D9D9" w:themeFill="background1" w:themeFillShade="D9"/>
            <w:vAlign w:val="center"/>
          </w:tcPr>
          <w:p w14:paraId="5F67D4DB" w14:textId="7EC07531" w:rsidR="003922C7" w:rsidRPr="008E4C6E" w:rsidRDefault="000C5EDC" w:rsidP="003F5056">
            <w:pPr>
              <w:spacing w:before="60" w:after="60"/>
              <w:jc w:val="center"/>
              <w:rPr>
                <w:color w:val="000000" w:themeColor="text1"/>
                <w:sz w:val="18"/>
                <w:szCs w:val="18"/>
              </w:rPr>
            </w:pPr>
            <w:r w:rsidRPr="008E4C6E">
              <w:rPr>
                <w:color w:val="000000" w:themeColor="text1"/>
                <w:sz w:val="18"/>
                <w:szCs w:val="18"/>
              </w:rPr>
              <w:t>Why This Will Help You</w:t>
            </w:r>
          </w:p>
        </w:tc>
      </w:tr>
      <w:tr w:rsidR="00E726E5" w:rsidRPr="008E4C6E" w14:paraId="1C0C2227" w14:textId="77777777" w:rsidTr="00AB0AE1">
        <w:trPr>
          <w:cantSplit/>
        </w:trPr>
        <w:tc>
          <w:tcPr>
            <w:tcW w:w="445" w:type="dxa"/>
            <w:vAlign w:val="center"/>
          </w:tcPr>
          <w:p w14:paraId="1F50FE2E" w14:textId="77777777" w:rsidR="00E726E5" w:rsidRPr="008E4C6E" w:rsidRDefault="00E726E5" w:rsidP="002A51AE">
            <w:pPr>
              <w:pStyle w:val="ListParagraph"/>
              <w:numPr>
                <w:ilvl w:val="0"/>
                <w:numId w:val="17"/>
              </w:numPr>
              <w:spacing w:before="120" w:after="120"/>
              <w:ind w:left="360"/>
              <w:rPr>
                <w:color w:val="000000" w:themeColor="text1"/>
                <w:sz w:val="18"/>
                <w:szCs w:val="18"/>
              </w:rPr>
            </w:pPr>
          </w:p>
        </w:tc>
        <w:sdt>
          <w:sdtPr>
            <w:rPr>
              <w:color w:val="000000" w:themeColor="text1"/>
              <w:sz w:val="18"/>
              <w:szCs w:val="18"/>
            </w:rPr>
            <w:id w:val="-1961868725"/>
            <w14:checkbox>
              <w14:checked w14:val="0"/>
              <w14:checkedState w14:val="2612" w14:font="MS Gothic"/>
              <w14:uncheckedState w14:val="2610" w14:font="MS Gothic"/>
            </w14:checkbox>
          </w:sdtPr>
          <w:sdtEndPr/>
          <w:sdtContent>
            <w:tc>
              <w:tcPr>
                <w:tcW w:w="727" w:type="dxa"/>
                <w:vAlign w:val="center"/>
              </w:tcPr>
              <w:p w14:paraId="0133FD49" w14:textId="3BEC9F4F" w:rsidR="00E726E5" w:rsidRPr="008E4C6E" w:rsidRDefault="00E726E5" w:rsidP="002A51AE">
                <w:pPr>
                  <w:spacing w:before="120" w:after="120"/>
                  <w:jc w:val="center"/>
                  <w:rPr>
                    <w:color w:val="000000" w:themeColor="text1"/>
                    <w:sz w:val="18"/>
                    <w:szCs w:val="18"/>
                  </w:rPr>
                </w:pPr>
                <w:r w:rsidRPr="008E4C6E">
                  <w:rPr>
                    <w:rFonts w:ascii="MS Gothic" w:eastAsia="MS Gothic" w:hAnsi="MS Gothic" w:hint="eastAsia"/>
                    <w:color w:val="000000" w:themeColor="text1"/>
                    <w:sz w:val="18"/>
                    <w:szCs w:val="18"/>
                  </w:rPr>
                  <w:t>☐</w:t>
                </w:r>
              </w:p>
            </w:tc>
          </w:sdtContent>
        </w:sdt>
        <w:tc>
          <w:tcPr>
            <w:tcW w:w="3436" w:type="dxa"/>
            <w:vAlign w:val="center"/>
          </w:tcPr>
          <w:p w14:paraId="42889370" w14:textId="1F6B9E30" w:rsidR="00E726E5" w:rsidRPr="008E4C6E" w:rsidRDefault="00E726E5" w:rsidP="002A51AE">
            <w:pPr>
              <w:spacing w:before="120" w:after="120"/>
              <w:rPr>
                <w:color w:val="000000" w:themeColor="text1"/>
                <w:sz w:val="18"/>
                <w:szCs w:val="18"/>
              </w:rPr>
            </w:pPr>
            <w:r w:rsidRPr="008E4C6E">
              <w:rPr>
                <w:color w:val="000000" w:themeColor="text1"/>
                <w:sz w:val="18"/>
                <w:szCs w:val="18"/>
              </w:rPr>
              <w:t>Assess the EFT implementation process.</w:t>
            </w:r>
          </w:p>
        </w:tc>
        <w:tc>
          <w:tcPr>
            <w:tcW w:w="5850" w:type="dxa"/>
            <w:vAlign w:val="center"/>
          </w:tcPr>
          <w:p w14:paraId="0C8D1931" w14:textId="43FE4F61" w:rsidR="00E726E5" w:rsidRPr="008E4C6E" w:rsidRDefault="003F5056" w:rsidP="003F5056">
            <w:pPr>
              <w:spacing w:before="120" w:after="120"/>
              <w:rPr>
                <w:color w:val="000000" w:themeColor="text1"/>
                <w:sz w:val="18"/>
                <w:szCs w:val="18"/>
              </w:rPr>
            </w:pPr>
            <w:r w:rsidRPr="008E4C6E">
              <w:rPr>
                <w:color w:val="000000" w:themeColor="text1"/>
                <w:sz w:val="18"/>
                <w:szCs w:val="18"/>
              </w:rPr>
              <w:t>Issues identified and addressed in c</w:t>
            </w:r>
            <w:r w:rsidR="00E726E5" w:rsidRPr="008E4C6E">
              <w:rPr>
                <w:color w:val="000000" w:themeColor="text1"/>
                <w:sz w:val="18"/>
                <w:szCs w:val="18"/>
              </w:rPr>
              <w:t xml:space="preserve">hecklist item #12 </w:t>
            </w:r>
            <w:r w:rsidRPr="008E4C6E">
              <w:rPr>
                <w:color w:val="000000" w:themeColor="text1"/>
                <w:sz w:val="18"/>
                <w:szCs w:val="18"/>
              </w:rPr>
              <w:t>are the basis for your assessment.</w:t>
            </w:r>
          </w:p>
        </w:tc>
      </w:tr>
      <w:tr w:rsidR="003922C7" w:rsidRPr="008E4C6E" w14:paraId="63D38125" w14:textId="77777777" w:rsidTr="00AB0AE1">
        <w:trPr>
          <w:cantSplit/>
        </w:trPr>
        <w:tc>
          <w:tcPr>
            <w:tcW w:w="445" w:type="dxa"/>
            <w:vAlign w:val="center"/>
          </w:tcPr>
          <w:p w14:paraId="42653014" w14:textId="77777777" w:rsidR="003922C7" w:rsidRPr="008E4C6E" w:rsidRDefault="003922C7" w:rsidP="00F30699">
            <w:pPr>
              <w:pStyle w:val="ListParagraph"/>
              <w:numPr>
                <w:ilvl w:val="0"/>
                <w:numId w:val="17"/>
              </w:numPr>
              <w:spacing w:before="120" w:after="120"/>
              <w:ind w:left="360"/>
              <w:rPr>
                <w:color w:val="000000" w:themeColor="text1"/>
                <w:sz w:val="18"/>
                <w:szCs w:val="18"/>
              </w:rPr>
            </w:pPr>
          </w:p>
        </w:tc>
        <w:sdt>
          <w:sdtPr>
            <w:rPr>
              <w:color w:val="000000" w:themeColor="text1"/>
              <w:sz w:val="18"/>
              <w:szCs w:val="18"/>
            </w:rPr>
            <w:id w:val="640625578"/>
            <w14:checkbox>
              <w14:checked w14:val="0"/>
              <w14:checkedState w14:val="2612" w14:font="MS Gothic"/>
              <w14:uncheckedState w14:val="2610" w14:font="MS Gothic"/>
            </w14:checkbox>
          </w:sdtPr>
          <w:sdtEndPr/>
          <w:sdtContent>
            <w:tc>
              <w:tcPr>
                <w:tcW w:w="727" w:type="dxa"/>
                <w:vAlign w:val="center"/>
              </w:tcPr>
              <w:p w14:paraId="3EF24F06" w14:textId="77777777" w:rsidR="003922C7" w:rsidRPr="008E4C6E" w:rsidRDefault="003922C7" w:rsidP="00F30699">
                <w:pPr>
                  <w:spacing w:before="120" w:after="120"/>
                  <w:jc w:val="center"/>
                  <w:rPr>
                    <w:color w:val="000000" w:themeColor="text1"/>
                    <w:sz w:val="18"/>
                    <w:szCs w:val="18"/>
                  </w:rPr>
                </w:pPr>
                <w:r w:rsidRPr="008E4C6E">
                  <w:rPr>
                    <w:rFonts w:ascii="MS Gothic" w:eastAsia="MS Gothic" w:hAnsi="MS Gothic" w:hint="eastAsia"/>
                    <w:color w:val="000000" w:themeColor="text1"/>
                    <w:sz w:val="18"/>
                    <w:szCs w:val="18"/>
                  </w:rPr>
                  <w:t>☐</w:t>
                </w:r>
              </w:p>
            </w:tc>
          </w:sdtContent>
        </w:sdt>
        <w:tc>
          <w:tcPr>
            <w:tcW w:w="3436" w:type="dxa"/>
            <w:vAlign w:val="center"/>
          </w:tcPr>
          <w:p w14:paraId="70CE7843" w14:textId="77777777" w:rsidR="003922C7" w:rsidRPr="008E4C6E" w:rsidRDefault="003922C7" w:rsidP="00F30699">
            <w:pPr>
              <w:spacing w:before="120" w:after="120"/>
              <w:rPr>
                <w:color w:val="000000" w:themeColor="text1"/>
                <w:sz w:val="18"/>
                <w:szCs w:val="18"/>
              </w:rPr>
            </w:pPr>
            <w:r w:rsidRPr="008E4C6E">
              <w:rPr>
                <w:color w:val="000000" w:themeColor="text1"/>
                <w:sz w:val="18"/>
                <w:szCs w:val="18"/>
              </w:rPr>
              <w:t>Schedule additional EFT implementations.</w:t>
            </w:r>
          </w:p>
        </w:tc>
        <w:tc>
          <w:tcPr>
            <w:tcW w:w="5850" w:type="dxa"/>
            <w:vAlign w:val="center"/>
          </w:tcPr>
          <w:p w14:paraId="3BE88F70" w14:textId="51791021" w:rsidR="003922C7" w:rsidRPr="008E4C6E" w:rsidRDefault="003F5056" w:rsidP="003F5056">
            <w:pPr>
              <w:spacing w:before="120" w:after="120"/>
              <w:rPr>
                <w:color w:val="000000" w:themeColor="text1"/>
                <w:sz w:val="18"/>
                <w:szCs w:val="18"/>
              </w:rPr>
            </w:pPr>
            <w:r w:rsidRPr="008E4C6E">
              <w:rPr>
                <w:color w:val="000000" w:themeColor="text1"/>
                <w:sz w:val="18"/>
                <w:szCs w:val="18"/>
              </w:rPr>
              <w:t>The outcome of the assessment (#13) will help you determine which and when more payers should be moved to EFT.</w:t>
            </w:r>
          </w:p>
        </w:tc>
      </w:tr>
    </w:tbl>
    <w:p w14:paraId="5B8F915F" w14:textId="77777777" w:rsidR="002D4D78" w:rsidRPr="009B355B" w:rsidRDefault="002D4D78">
      <w:pPr>
        <w:spacing w:after="0"/>
        <w:rPr>
          <w:color w:val="000000" w:themeColor="text1"/>
        </w:rPr>
      </w:pPr>
      <w:r w:rsidRPr="009B355B">
        <w:rPr>
          <w:color w:val="000000" w:themeColor="text1"/>
        </w:rPr>
        <w:br w:type="page"/>
      </w:r>
    </w:p>
    <w:p w14:paraId="48226EA2" w14:textId="3971BDEA" w:rsidR="002D4D78" w:rsidRPr="003761A6" w:rsidRDefault="002D4D78" w:rsidP="002D4D78">
      <w:pPr>
        <w:spacing w:before="120" w:after="120"/>
        <w:jc w:val="center"/>
        <w:rPr>
          <w:color w:val="00B050"/>
        </w:rPr>
      </w:pPr>
      <w:r w:rsidRPr="003761A6">
        <w:rPr>
          <w:color w:val="00B050"/>
        </w:rPr>
        <w:lastRenderedPageBreak/>
        <w:t xml:space="preserve">Part </w:t>
      </w:r>
      <w:r>
        <w:rPr>
          <w:color w:val="00B050"/>
        </w:rPr>
        <w:t>5</w:t>
      </w:r>
      <w:r w:rsidRPr="003761A6">
        <w:rPr>
          <w:color w:val="00B050"/>
        </w:rPr>
        <w:t xml:space="preserve"> –</w:t>
      </w:r>
      <w:r>
        <w:rPr>
          <w:color w:val="00B050"/>
        </w:rPr>
        <w:t>Begin ERA Implementation</w:t>
      </w:r>
    </w:p>
    <w:p w14:paraId="73B4901D" w14:textId="17ED4771" w:rsidR="00534652" w:rsidRDefault="00B43472" w:rsidP="002D4D78">
      <w:pPr>
        <w:spacing w:before="120" w:after="120"/>
        <w:rPr>
          <w:color w:val="000000" w:themeColor="text1"/>
          <w:sz w:val="16"/>
          <w:szCs w:val="16"/>
        </w:rPr>
      </w:pPr>
      <w:r>
        <w:rPr>
          <w:color w:val="000000" w:themeColor="text1"/>
          <w:sz w:val="16"/>
          <w:szCs w:val="16"/>
        </w:rPr>
        <w:t xml:space="preserve">EFT is one avenue to increase your practice’s administrative efficiency by reducing paper-handling.  There is another complementary avenue to increased administrative efficiency, implementing the standard Electronic Remittance Advice (ERA) transaction.  </w:t>
      </w:r>
    </w:p>
    <w:tbl>
      <w:tblPr>
        <w:tblStyle w:val="TableGrid"/>
        <w:tblW w:w="10458" w:type="dxa"/>
        <w:tblInd w:w="-113" w:type="dxa"/>
        <w:tblLook w:val="04A0" w:firstRow="1" w:lastRow="0" w:firstColumn="1" w:lastColumn="0" w:noHBand="0" w:noVBand="1"/>
      </w:tblPr>
      <w:tblGrid>
        <w:gridCol w:w="445"/>
        <w:gridCol w:w="727"/>
        <w:gridCol w:w="3436"/>
        <w:gridCol w:w="5850"/>
      </w:tblGrid>
      <w:tr w:rsidR="00F33B87" w:rsidRPr="003761A6" w14:paraId="6F537C52" w14:textId="77777777" w:rsidTr="00E23AF8">
        <w:tc>
          <w:tcPr>
            <w:tcW w:w="445" w:type="dxa"/>
            <w:shd w:val="clear" w:color="auto" w:fill="D9D9D9" w:themeFill="background1" w:themeFillShade="D9"/>
            <w:vAlign w:val="center"/>
          </w:tcPr>
          <w:p w14:paraId="4F869B22" w14:textId="77777777" w:rsidR="00F33B87" w:rsidRPr="003761A6" w:rsidRDefault="00F33B87" w:rsidP="00E23AF8">
            <w:pPr>
              <w:spacing w:before="60" w:after="60"/>
              <w:jc w:val="center"/>
              <w:rPr>
                <w:color w:val="000000" w:themeColor="text1"/>
                <w:sz w:val="16"/>
                <w:szCs w:val="16"/>
              </w:rPr>
            </w:pPr>
            <w:r w:rsidRPr="003761A6">
              <w:rPr>
                <w:color w:val="000000" w:themeColor="text1"/>
                <w:sz w:val="16"/>
                <w:szCs w:val="16"/>
              </w:rPr>
              <w:t>#</w:t>
            </w:r>
          </w:p>
        </w:tc>
        <w:tc>
          <w:tcPr>
            <w:tcW w:w="727" w:type="dxa"/>
            <w:shd w:val="clear" w:color="auto" w:fill="D9D9D9" w:themeFill="background1" w:themeFillShade="D9"/>
            <w:vAlign w:val="center"/>
          </w:tcPr>
          <w:p w14:paraId="79FA3C64" w14:textId="77777777" w:rsidR="00F33B87" w:rsidRPr="003761A6" w:rsidRDefault="00F33B87" w:rsidP="00E23AF8">
            <w:pPr>
              <w:spacing w:before="60" w:after="60"/>
              <w:jc w:val="center"/>
              <w:rPr>
                <w:color w:val="000000" w:themeColor="text1"/>
                <w:sz w:val="16"/>
                <w:szCs w:val="16"/>
              </w:rPr>
            </w:pPr>
            <w:r w:rsidRPr="003761A6">
              <w:rPr>
                <w:color w:val="000000" w:themeColor="text1"/>
                <w:sz w:val="16"/>
                <w:szCs w:val="16"/>
              </w:rPr>
              <w:t>Check</w:t>
            </w:r>
          </w:p>
        </w:tc>
        <w:tc>
          <w:tcPr>
            <w:tcW w:w="3436" w:type="dxa"/>
            <w:shd w:val="clear" w:color="auto" w:fill="D9D9D9" w:themeFill="background1" w:themeFillShade="D9"/>
            <w:vAlign w:val="center"/>
          </w:tcPr>
          <w:p w14:paraId="0FEBCEC1" w14:textId="77777777" w:rsidR="00F33B87" w:rsidRPr="003761A6" w:rsidRDefault="00F33B87" w:rsidP="00E23AF8">
            <w:pPr>
              <w:spacing w:before="60" w:after="60"/>
              <w:jc w:val="center"/>
              <w:rPr>
                <w:color w:val="000000" w:themeColor="text1"/>
                <w:sz w:val="16"/>
                <w:szCs w:val="16"/>
              </w:rPr>
            </w:pPr>
            <w:r w:rsidRPr="003761A6">
              <w:rPr>
                <w:color w:val="000000" w:themeColor="text1"/>
                <w:sz w:val="16"/>
                <w:szCs w:val="16"/>
              </w:rPr>
              <w:t>Action</w:t>
            </w:r>
          </w:p>
        </w:tc>
        <w:tc>
          <w:tcPr>
            <w:tcW w:w="5850" w:type="dxa"/>
            <w:shd w:val="clear" w:color="auto" w:fill="D9D9D9" w:themeFill="background1" w:themeFillShade="D9"/>
            <w:vAlign w:val="center"/>
          </w:tcPr>
          <w:p w14:paraId="6467707E" w14:textId="77777777" w:rsidR="00F33B87" w:rsidRPr="003761A6" w:rsidRDefault="00F33B87" w:rsidP="00E23AF8">
            <w:pPr>
              <w:spacing w:before="60" w:after="60"/>
              <w:jc w:val="center"/>
              <w:rPr>
                <w:color w:val="000000" w:themeColor="text1"/>
                <w:sz w:val="16"/>
                <w:szCs w:val="16"/>
              </w:rPr>
            </w:pPr>
            <w:r>
              <w:rPr>
                <w:color w:val="000000" w:themeColor="text1"/>
                <w:sz w:val="16"/>
                <w:szCs w:val="16"/>
              </w:rPr>
              <w:t>Why This Will Help You</w:t>
            </w:r>
          </w:p>
        </w:tc>
      </w:tr>
      <w:tr w:rsidR="00F33B87" w:rsidRPr="003761A6" w14:paraId="34FAE395" w14:textId="77777777" w:rsidTr="00E23AF8">
        <w:trPr>
          <w:cantSplit/>
        </w:trPr>
        <w:tc>
          <w:tcPr>
            <w:tcW w:w="445" w:type="dxa"/>
            <w:vAlign w:val="center"/>
          </w:tcPr>
          <w:p w14:paraId="70D53ADD" w14:textId="77777777" w:rsidR="00F33B87" w:rsidRPr="003761A6" w:rsidRDefault="00F33B87" w:rsidP="00E23AF8">
            <w:pPr>
              <w:pStyle w:val="ListParagraph"/>
              <w:numPr>
                <w:ilvl w:val="0"/>
                <w:numId w:val="17"/>
              </w:numPr>
              <w:spacing w:before="120" w:after="120"/>
              <w:ind w:left="360"/>
              <w:rPr>
                <w:color w:val="000000" w:themeColor="text1"/>
                <w:sz w:val="16"/>
                <w:szCs w:val="16"/>
              </w:rPr>
            </w:pPr>
          </w:p>
        </w:tc>
        <w:sdt>
          <w:sdtPr>
            <w:rPr>
              <w:color w:val="000000" w:themeColor="text1"/>
              <w:sz w:val="16"/>
              <w:szCs w:val="16"/>
            </w:rPr>
            <w:id w:val="-1401662808"/>
            <w14:checkbox>
              <w14:checked w14:val="0"/>
              <w14:checkedState w14:val="2612" w14:font="MS Gothic"/>
              <w14:uncheckedState w14:val="2610" w14:font="MS Gothic"/>
            </w14:checkbox>
          </w:sdtPr>
          <w:sdtEndPr/>
          <w:sdtContent>
            <w:tc>
              <w:tcPr>
                <w:tcW w:w="727" w:type="dxa"/>
                <w:vAlign w:val="center"/>
              </w:tcPr>
              <w:p w14:paraId="3F4031D6" w14:textId="77777777" w:rsidR="00F33B87" w:rsidRPr="003761A6" w:rsidRDefault="00F33B87" w:rsidP="00E23AF8">
                <w:pPr>
                  <w:spacing w:before="120" w:after="120"/>
                  <w:jc w:val="center"/>
                  <w:rPr>
                    <w:color w:val="000000" w:themeColor="text1"/>
                    <w:sz w:val="16"/>
                    <w:szCs w:val="16"/>
                  </w:rPr>
                </w:pPr>
                <w:r w:rsidRPr="003761A6">
                  <w:rPr>
                    <w:rFonts w:ascii="MS Gothic" w:eastAsia="MS Gothic" w:hAnsi="MS Gothic" w:hint="eastAsia"/>
                    <w:color w:val="000000" w:themeColor="text1"/>
                    <w:sz w:val="16"/>
                    <w:szCs w:val="16"/>
                  </w:rPr>
                  <w:t>☐</w:t>
                </w:r>
              </w:p>
            </w:tc>
          </w:sdtContent>
        </w:sdt>
        <w:tc>
          <w:tcPr>
            <w:tcW w:w="3436" w:type="dxa"/>
            <w:vAlign w:val="center"/>
          </w:tcPr>
          <w:p w14:paraId="1CC4BAD5" w14:textId="775417B5" w:rsidR="00F33B87" w:rsidRPr="003761A6" w:rsidRDefault="001D0EC8" w:rsidP="001D0EC8">
            <w:pPr>
              <w:spacing w:before="120" w:after="120"/>
              <w:rPr>
                <w:color w:val="000000" w:themeColor="text1"/>
                <w:sz w:val="16"/>
                <w:szCs w:val="16"/>
              </w:rPr>
            </w:pPr>
            <w:r w:rsidRPr="003761A6">
              <w:rPr>
                <w:color w:val="000000" w:themeColor="text1"/>
                <w:sz w:val="16"/>
                <w:szCs w:val="16"/>
              </w:rPr>
              <w:t xml:space="preserve">Assess </w:t>
            </w:r>
            <w:r>
              <w:rPr>
                <w:color w:val="000000" w:themeColor="text1"/>
                <w:sz w:val="16"/>
                <w:szCs w:val="16"/>
              </w:rPr>
              <w:t>practice readiness to implement ERA transactions</w:t>
            </w:r>
            <w:r w:rsidRPr="003761A6">
              <w:rPr>
                <w:color w:val="000000" w:themeColor="text1"/>
                <w:sz w:val="16"/>
                <w:szCs w:val="16"/>
              </w:rPr>
              <w:t>.</w:t>
            </w:r>
          </w:p>
        </w:tc>
        <w:tc>
          <w:tcPr>
            <w:tcW w:w="5850" w:type="dxa"/>
            <w:vAlign w:val="center"/>
          </w:tcPr>
          <w:p w14:paraId="154F6BBD" w14:textId="77777777" w:rsidR="00F33B87" w:rsidRDefault="001D0EC8" w:rsidP="00E23AF8">
            <w:pPr>
              <w:spacing w:before="120" w:after="120"/>
              <w:rPr>
                <w:color w:val="000000" w:themeColor="text1"/>
                <w:sz w:val="16"/>
                <w:szCs w:val="16"/>
              </w:rPr>
            </w:pPr>
            <w:r>
              <w:rPr>
                <w:color w:val="000000" w:themeColor="text1"/>
                <w:sz w:val="16"/>
                <w:szCs w:val="16"/>
              </w:rPr>
              <w:t>ERA’s enable your PMS to automatically post information that is now manually entered from information on paper EOBs and on payer proprietary online provider portals.</w:t>
            </w:r>
          </w:p>
          <w:p w14:paraId="424039EC" w14:textId="07128AB4" w:rsidR="001D0EC8" w:rsidRPr="003761A6" w:rsidRDefault="001D0EC8" w:rsidP="00E23AF8">
            <w:pPr>
              <w:spacing w:before="120" w:after="120"/>
              <w:rPr>
                <w:color w:val="000000" w:themeColor="text1"/>
                <w:sz w:val="16"/>
                <w:szCs w:val="16"/>
              </w:rPr>
            </w:pPr>
            <w:r>
              <w:rPr>
                <w:color w:val="000000" w:themeColor="text1"/>
                <w:sz w:val="16"/>
                <w:szCs w:val="16"/>
              </w:rPr>
              <w:t xml:space="preserve">You do not need to defer ERA implementation until you complete your EFT implementation with all the dental benefit plans that send reimbursements directly to your practice.  </w:t>
            </w:r>
          </w:p>
        </w:tc>
      </w:tr>
      <w:tr w:rsidR="00F33B87" w:rsidRPr="003761A6" w14:paraId="5E5F9052" w14:textId="77777777" w:rsidTr="00E23AF8">
        <w:trPr>
          <w:cantSplit/>
        </w:trPr>
        <w:tc>
          <w:tcPr>
            <w:tcW w:w="445" w:type="dxa"/>
            <w:vAlign w:val="center"/>
          </w:tcPr>
          <w:p w14:paraId="17F9A499" w14:textId="77777777" w:rsidR="00F33B87" w:rsidRPr="003761A6" w:rsidRDefault="00F33B87" w:rsidP="00E23AF8">
            <w:pPr>
              <w:pStyle w:val="ListParagraph"/>
              <w:numPr>
                <w:ilvl w:val="0"/>
                <w:numId w:val="17"/>
              </w:numPr>
              <w:spacing w:before="120" w:after="120"/>
              <w:ind w:left="360"/>
              <w:rPr>
                <w:color w:val="000000" w:themeColor="text1"/>
                <w:sz w:val="16"/>
                <w:szCs w:val="16"/>
              </w:rPr>
            </w:pPr>
          </w:p>
        </w:tc>
        <w:sdt>
          <w:sdtPr>
            <w:rPr>
              <w:color w:val="000000" w:themeColor="text1"/>
              <w:sz w:val="16"/>
              <w:szCs w:val="16"/>
            </w:rPr>
            <w:id w:val="1373031596"/>
            <w14:checkbox>
              <w14:checked w14:val="0"/>
              <w14:checkedState w14:val="2612" w14:font="MS Gothic"/>
              <w14:uncheckedState w14:val="2610" w14:font="MS Gothic"/>
            </w14:checkbox>
          </w:sdtPr>
          <w:sdtEndPr/>
          <w:sdtContent>
            <w:tc>
              <w:tcPr>
                <w:tcW w:w="727" w:type="dxa"/>
                <w:vAlign w:val="center"/>
              </w:tcPr>
              <w:p w14:paraId="5F2C3069" w14:textId="77777777" w:rsidR="00F33B87" w:rsidRPr="003761A6" w:rsidRDefault="00F33B87" w:rsidP="00E23AF8">
                <w:pPr>
                  <w:spacing w:before="120" w:after="120"/>
                  <w:jc w:val="center"/>
                  <w:rPr>
                    <w:color w:val="000000" w:themeColor="text1"/>
                    <w:sz w:val="16"/>
                    <w:szCs w:val="16"/>
                  </w:rPr>
                </w:pPr>
                <w:r w:rsidRPr="003761A6">
                  <w:rPr>
                    <w:rFonts w:ascii="MS Gothic" w:eastAsia="MS Gothic" w:hAnsi="MS Gothic" w:hint="eastAsia"/>
                    <w:color w:val="000000" w:themeColor="text1"/>
                    <w:sz w:val="16"/>
                    <w:szCs w:val="16"/>
                  </w:rPr>
                  <w:t>☐</w:t>
                </w:r>
              </w:p>
            </w:tc>
          </w:sdtContent>
        </w:sdt>
        <w:tc>
          <w:tcPr>
            <w:tcW w:w="3436" w:type="dxa"/>
            <w:vAlign w:val="center"/>
          </w:tcPr>
          <w:p w14:paraId="3D4A1A24" w14:textId="29F02E3F" w:rsidR="00F33B87" w:rsidRPr="003761A6" w:rsidRDefault="001D0EC8" w:rsidP="00E23AF8">
            <w:pPr>
              <w:spacing w:before="120" w:after="120"/>
              <w:rPr>
                <w:color w:val="000000" w:themeColor="text1"/>
                <w:sz w:val="16"/>
                <w:szCs w:val="16"/>
              </w:rPr>
            </w:pPr>
            <w:r>
              <w:rPr>
                <w:color w:val="000000" w:themeColor="text1"/>
                <w:sz w:val="16"/>
                <w:szCs w:val="16"/>
              </w:rPr>
              <w:t>Initiate ERA implementation process.</w:t>
            </w:r>
          </w:p>
        </w:tc>
        <w:tc>
          <w:tcPr>
            <w:tcW w:w="5850" w:type="dxa"/>
            <w:vAlign w:val="center"/>
          </w:tcPr>
          <w:p w14:paraId="43BB71E8" w14:textId="77777777" w:rsidR="00F33B87" w:rsidRDefault="001D0EC8" w:rsidP="00E23AF8">
            <w:pPr>
              <w:spacing w:before="120" w:after="120"/>
              <w:rPr>
                <w:color w:val="000000" w:themeColor="text1"/>
                <w:sz w:val="16"/>
                <w:szCs w:val="16"/>
              </w:rPr>
            </w:pPr>
            <w:r>
              <w:rPr>
                <w:color w:val="000000" w:themeColor="text1"/>
                <w:sz w:val="16"/>
                <w:szCs w:val="16"/>
              </w:rPr>
              <w:t>Your ERA implementation can follow the same steps identified in this EFT checklist (#s 1-15) – again starting with one or more payers whose volume would not be overwhelming.</w:t>
            </w:r>
          </w:p>
          <w:p w14:paraId="78475113" w14:textId="77777777" w:rsidR="001D0EC8" w:rsidRDefault="001D0EC8" w:rsidP="00E23AF8">
            <w:pPr>
              <w:spacing w:before="120" w:after="120"/>
              <w:rPr>
                <w:color w:val="000000" w:themeColor="text1"/>
                <w:sz w:val="16"/>
                <w:szCs w:val="16"/>
              </w:rPr>
            </w:pPr>
            <w:r>
              <w:rPr>
                <w:color w:val="000000" w:themeColor="text1"/>
                <w:sz w:val="16"/>
                <w:szCs w:val="16"/>
              </w:rPr>
              <w:t>Approach your PMS vendor regarding software upgrade to automate ERA-EFT reconciliation to reduce the need for manual interventions (e.g., receivable adjustment).</w:t>
            </w:r>
          </w:p>
          <w:p w14:paraId="312DA2E9" w14:textId="77777777" w:rsidR="00244114" w:rsidRPr="00244114" w:rsidRDefault="007F1B60" w:rsidP="008E4C6E">
            <w:pPr>
              <w:spacing w:after="120"/>
              <w:ind w:left="702" w:hanging="630"/>
              <w:rPr>
                <w:sz w:val="16"/>
                <w:szCs w:val="16"/>
              </w:rPr>
            </w:pPr>
            <w:r w:rsidRPr="00244114">
              <w:rPr>
                <w:b/>
                <w:sz w:val="16"/>
                <w:szCs w:val="16"/>
              </w:rPr>
              <w:t>NOTE:</w:t>
            </w:r>
            <w:r w:rsidRPr="00244114">
              <w:rPr>
                <w:sz w:val="16"/>
                <w:szCs w:val="16"/>
              </w:rPr>
              <w:tab/>
              <w:t xml:space="preserve">Both the EFT and ERA transactions include a data element that will help match a payment with the receivable created when the claim was prepared.  This is the </w:t>
            </w:r>
            <w:r w:rsidR="00B84682" w:rsidRPr="00244114">
              <w:rPr>
                <w:sz w:val="16"/>
                <w:szCs w:val="16"/>
              </w:rPr>
              <w:t xml:space="preserve">Trace Reassociation </w:t>
            </w:r>
            <w:r w:rsidRPr="00244114">
              <w:rPr>
                <w:sz w:val="16"/>
                <w:szCs w:val="16"/>
              </w:rPr>
              <w:t>Number</w:t>
            </w:r>
            <w:r w:rsidR="00B84682" w:rsidRPr="00244114">
              <w:rPr>
                <w:sz w:val="16"/>
                <w:szCs w:val="16"/>
              </w:rPr>
              <w:t xml:space="preserve"> (TRN)</w:t>
            </w:r>
            <w:r w:rsidRPr="00244114">
              <w:rPr>
                <w:sz w:val="16"/>
                <w:szCs w:val="16"/>
              </w:rPr>
              <w:t xml:space="preserve"> that is unique to each claim’s ERA and EFT.</w:t>
            </w:r>
          </w:p>
          <w:p w14:paraId="237CE80A" w14:textId="5BC65C07" w:rsidR="00244114" w:rsidRPr="00244114" w:rsidRDefault="00244114" w:rsidP="00244114">
            <w:pPr>
              <w:spacing w:after="120"/>
              <w:ind w:left="702"/>
              <w:rPr>
                <w:sz w:val="16"/>
                <w:szCs w:val="16"/>
              </w:rPr>
            </w:pPr>
            <w:r w:rsidRPr="00244114">
              <w:rPr>
                <w:sz w:val="16"/>
                <w:szCs w:val="16"/>
              </w:rPr>
              <w:t>Designed to be a machine-readable number, the TRN is a series of numbers and asterisks, similar to this:</w:t>
            </w:r>
          </w:p>
          <w:p w14:paraId="09DE835B" w14:textId="63C56C4E" w:rsidR="00244114" w:rsidRPr="00244114" w:rsidRDefault="00244114" w:rsidP="00244114">
            <w:pPr>
              <w:spacing w:after="120"/>
              <w:ind w:left="702" w:hanging="720"/>
              <w:jc w:val="center"/>
              <w:rPr>
                <w:sz w:val="16"/>
                <w:szCs w:val="16"/>
              </w:rPr>
            </w:pPr>
            <w:r w:rsidRPr="00244114">
              <w:rPr>
                <w:sz w:val="16"/>
                <w:szCs w:val="16"/>
              </w:rPr>
              <w:t>TRN*1*12345*1512345678*999999999\</w:t>
            </w:r>
          </w:p>
          <w:p w14:paraId="2FC0625F" w14:textId="3777176B" w:rsidR="007F1B60" w:rsidRPr="00244114" w:rsidRDefault="007F1B60" w:rsidP="00244114">
            <w:pPr>
              <w:spacing w:after="120"/>
              <w:ind w:left="702"/>
              <w:rPr>
                <w:sz w:val="16"/>
                <w:szCs w:val="16"/>
              </w:rPr>
            </w:pPr>
            <w:r w:rsidRPr="00244114">
              <w:rPr>
                <w:sz w:val="16"/>
                <w:szCs w:val="16"/>
              </w:rPr>
              <w:t>It will be an integral part of your PMS automated reconciliation software upgrade</w:t>
            </w:r>
            <w:r w:rsidR="00244114" w:rsidRPr="00244114">
              <w:rPr>
                <w:sz w:val="16"/>
                <w:szCs w:val="16"/>
              </w:rPr>
              <w:t>, when available</w:t>
            </w:r>
            <w:r w:rsidRPr="00244114">
              <w:rPr>
                <w:sz w:val="16"/>
                <w:szCs w:val="16"/>
              </w:rPr>
              <w:t>.</w:t>
            </w:r>
          </w:p>
          <w:p w14:paraId="5ED9A36E" w14:textId="2AC6B3F7" w:rsidR="00244114" w:rsidRPr="003761A6" w:rsidRDefault="007F1B60" w:rsidP="00244114">
            <w:pPr>
              <w:spacing w:after="120"/>
              <w:ind w:left="702"/>
              <w:rPr>
                <w:color w:val="000000" w:themeColor="text1"/>
                <w:sz w:val="16"/>
                <w:szCs w:val="16"/>
              </w:rPr>
            </w:pPr>
            <w:r w:rsidRPr="00244114">
              <w:rPr>
                <w:sz w:val="16"/>
                <w:szCs w:val="16"/>
              </w:rPr>
              <w:t xml:space="preserve">There is no requirement for a </w:t>
            </w:r>
            <w:r w:rsidR="00B84682" w:rsidRPr="00244114">
              <w:rPr>
                <w:sz w:val="16"/>
                <w:szCs w:val="16"/>
              </w:rPr>
              <w:t>TRN</w:t>
            </w:r>
            <w:r w:rsidRPr="00244114">
              <w:rPr>
                <w:sz w:val="16"/>
                <w:szCs w:val="16"/>
              </w:rPr>
              <w:t xml:space="preserve"> on either a paper EOB or one accessed online from a payer’s proprietary web site.  But if you see something that </w:t>
            </w:r>
            <w:r w:rsidR="00244114" w:rsidRPr="00244114">
              <w:rPr>
                <w:sz w:val="16"/>
                <w:szCs w:val="16"/>
              </w:rPr>
              <w:t>looks like a TRN,</w:t>
            </w:r>
            <w:r w:rsidRPr="00244114">
              <w:rPr>
                <w:sz w:val="16"/>
                <w:szCs w:val="16"/>
              </w:rPr>
              <w:t xml:space="preserve"> please check with the payer to find out if </w:t>
            </w:r>
            <w:r w:rsidR="00244114" w:rsidRPr="00244114">
              <w:rPr>
                <w:sz w:val="16"/>
                <w:szCs w:val="16"/>
              </w:rPr>
              <w:t>it</w:t>
            </w:r>
            <w:r w:rsidRPr="00244114">
              <w:rPr>
                <w:sz w:val="16"/>
                <w:szCs w:val="16"/>
              </w:rPr>
              <w:t xml:space="preserve"> is this data element.  If so, you may find it helpful in the manual reconciliation process.</w:t>
            </w:r>
          </w:p>
        </w:tc>
      </w:tr>
    </w:tbl>
    <w:p w14:paraId="0EDDBA01" w14:textId="781CB24C" w:rsidR="00395371" w:rsidRPr="003761A6" w:rsidRDefault="00395371" w:rsidP="00FB1F8F">
      <w:pPr>
        <w:pBdr>
          <w:bottom w:val="single" w:sz="4" w:space="1" w:color="auto"/>
        </w:pBdr>
        <w:spacing w:before="360" w:after="120"/>
        <w:rPr>
          <w:b/>
          <w:sz w:val="18"/>
          <w:szCs w:val="18"/>
        </w:rPr>
      </w:pPr>
      <w:r w:rsidRPr="003761A6">
        <w:rPr>
          <w:b/>
          <w:sz w:val="18"/>
          <w:szCs w:val="18"/>
        </w:rPr>
        <w:lastRenderedPageBreak/>
        <w:t>Questions or Assistance?</w:t>
      </w:r>
    </w:p>
    <w:p w14:paraId="62D0845A" w14:textId="49E81958" w:rsidR="00395371" w:rsidRDefault="00395371" w:rsidP="00461746">
      <w:pPr>
        <w:spacing w:after="120"/>
        <w:ind w:left="187"/>
        <w:rPr>
          <w:sz w:val="18"/>
          <w:szCs w:val="18"/>
        </w:rPr>
      </w:pPr>
      <w:r w:rsidRPr="003761A6">
        <w:rPr>
          <w:sz w:val="18"/>
          <w:szCs w:val="18"/>
        </w:rPr>
        <w:t xml:space="preserve">Call 800-621-8099 or send an email to </w:t>
      </w:r>
      <w:hyperlink r:id="rId16" w:history="1">
        <w:r w:rsidRPr="003761A6">
          <w:rPr>
            <w:color w:val="0563C1" w:themeColor="hyperlink"/>
            <w:sz w:val="18"/>
            <w:szCs w:val="18"/>
            <w:u w:val="single"/>
          </w:rPr>
          <w:t>dentalcode@ada.org</w:t>
        </w:r>
      </w:hyperlink>
      <w:r w:rsidRPr="003761A6">
        <w:rPr>
          <w:sz w:val="18"/>
          <w:szCs w:val="18"/>
        </w:rPr>
        <w:t xml:space="preserve"> </w:t>
      </w:r>
    </w:p>
    <w:sectPr w:rsidR="00395371" w:rsidSect="008E4C6E">
      <w:headerReference w:type="default" r:id="rId17"/>
      <w:footerReference w:type="default" r:id="rId18"/>
      <w:pgSz w:w="12240" w:h="15840" w:code="1"/>
      <w:pgMar w:top="1440" w:right="1008" w:bottom="1008" w:left="1008" w:header="720" w:footer="576" w:gutter="0"/>
      <w:pgBorders w:offsetFrom="page">
        <w:top w:val="double" w:sz="12" w:space="24" w:color="00B050"/>
        <w:left w:val="double" w:sz="12" w:space="24" w:color="00B050"/>
        <w:bottom w:val="double" w:sz="12" w:space="24" w:color="00B050"/>
        <w:right w:val="double" w:sz="12" w:space="24" w:color="00B05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C801D" w14:textId="77777777" w:rsidR="00031612" w:rsidRDefault="00031612" w:rsidP="009631D6">
      <w:pPr>
        <w:spacing w:after="0"/>
      </w:pPr>
      <w:r>
        <w:separator/>
      </w:r>
    </w:p>
  </w:endnote>
  <w:endnote w:type="continuationSeparator" w:id="0">
    <w:p w14:paraId="0433C29E" w14:textId="77777777" w:rsidR="00031612" w:rsidRDefault="00031612" w:rsidP="009631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D4F5D" w14:textId="00460F0D" w:rsidR="00813CC4" w:rsidRPr="006B7C16" w:rsidRDefault="00813CC4" w:rsidP="00E34FAC">
    <w:pPr>
      <w:pStyle w:val="Footer"/>
      <w:jc w:val="center"/>
      <w:rPr>
        <w:sz w:val="16"/>
        <w:szCs w:val="16"/>
      </w:rPr>
    </w:pPr>
    <w:r>
      <w:rPr>
        <w:noProof/>
      </w:rPr>
      <w:drawing>
        <wp:inline distT="0" distB="0" distL="0" distR="0" wp14:anchorId="540C5D2A" wp14:editId="00654B27">
          <wp:extent cx="2072244" cy="258071"/>
          <wp:effectExtent l="0" t="0" r="4445"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9408" cy="290097"/>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2A5C8" w14:textId="77777777" w:rsidR="00031612" w:rsidRDefault="00031612" w:rsidP="009631D6">
      <w:pPr>
        <w:spacing w:after="0"/>
      </w:pPr>
      <w:r>
        <w:separator/>
      </w:r>
    </w:p>
  </w:footnote>
  <w:footnote w:type="continuationSeparator" w:id="0">
    <w:p w14:paraId="4872A8B8" w14:textId="77777777" w:rsidR="00031612" w:rsidRDefault="00031612" w:rsidP="009631D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F1810" w14:textId="42DD09E8" w:rsidR="00813CC4" w:rsidRPr="008E4C6E" w:rsidRDefault="00813CC4" w:rsidP="00E34FAC">
    <w:pPr>
      <w:spacing w:after="0"/>
      <w:jc w:val="center"/>
      <w:rPr>
        <w:bCs/>
        <w:color w:val="808080" w:themeColor="background1" w:themeShade="80"/>
      </w:rPr>
    </w:pPr>
    <w:r w:rsidRPr="008E4C6E">
      <w:rPr>
        <w:rFonts w:cs="Times New Roman"/>
        <w:color w:val="808080" w:themeColor="background1" w:themeShade="80"/>
      </w:rPr>
      <w:t xml:space="preserve">EFT Checklist – Version 1 – February </w:t>
    </w:r>
    <w:r w:rsidR="006B7C16" w:rsidRPr="008E4C6E">
      <w:rPr>
        <w:rFonts w:cs="Times New Roman"/>
        <w:color w:val="808080" w:themeColor="background1" w:themeShade="80"/>
      </w:rPr>
      <w:t>15</w:t>
    </w:r>
    <w:r w:rsidRPr="008E4C6E">
      <w:rPr>
        <w:rFonts w:cs="Times New Roman"/>
        <w:color w:val="808080" w:themeColor="background1" w:themeShade="80"/>
      </w:rPr>
      <w:t xml:space="preserve">, 2018 – </w:t>
    </w:r>
    <w:r w:rsidRPr="008E4C6E">
      <w:rPr>
        <w:color w:val="808080" w:themeColor="background1" w:themeShade="80"/>
      </w:rPr>
      <w:t xml:space="preserve">Page </w:t>
    </w:r>
    <w:r w:rsidRPr="008E4C6E">
      <w:rPr>
        <w:bCs/>
        <w:color w:val="808080" w:themeColor="background1" w:themeShade="80"/>
      </w:rPr>
      <w:fldChar w:fldCharType="begin"/>
    </w:r>
    <w:r w:rsidRPr="008E4C6E">
      <w:rPr>
        <w:bCs/>
        <w:color w:val="808080" w:themeColor="background1" w:themeShade="80"/>
      </w:rPr>
      <w:instrText xml:space="preserve"> PAGE  \* Arabic  \* MERGEFORMAT </w:instrText>
    </w:r>
    <w:r w:rsidRPr="008E4C6E">
      <w:rPr>
        <w:bCs/>
        <w:color w:val="808080" w:themeColor="background1" w:themeShade="80"/>
      </w:rPr>
      <w:fldChar w:fldCharType="separate"/>
    </w:r>
    <w:r w:rsidR="00015D35">
      <w:rPr>
        <w:bCs/>
        <w:noProof/>
        <w:color w:val="808080" w:themeColor="background1" w:themeShade="80"/>
      </w:rPr>
      <w:t>1</w:t>
    </w:r>
    <w:r w:rsidRPr="008E4C6E">
      <w:rPr>
        <w:bCs/>
        <w:color w:val="808080" w:themeColor="background1" w:themeShade="80"/>
      </w:rPr>
      <w:fldChar w:fldCharType="end"/>
    </w:r>
    <w:r w:rsidRPr="008E4C6E">
      <w:rPr>
        <w:color w:val="808080" w:themeColor="background1" w:themeShade="80"/>
      </w:rPr>
      <w:t xml:space="preserve"> of </w:t>
    </w:r>
    <w:r w:rsidRPr="008E4C6E">
      <w:rPr>
        <w:bCs/>
        <w:color w:val="808080" w:themeColor="background1" w:themeShade="80"/>
      </w:rPr>
      <w:fldChar w:fldCharType="begin"/>
    </w:r>
    <w:r w:rsidRPr="008E4C6E">
      <w:rPr>
        <w:bCs/>
        <w:color w:val="808080" w:themeColor="background1" w:themeShade="80"/>
      </w:rPr>
      <w:instrText xml:space="preserve"> NUMPAGES  \* Arabic  \* MERGEFORMAT </w:instrText>
    </w:r>
    <w:r w:rsidRPr="008E4C6E">
      <w:rPr>
        <w:bCs/>
        <w:color w:val="808080" w:themeColor="background1" w:themeShade="80"/>
      </w:rPr>
      <w:fldChar w:fldCharType="separate"/>
    </w:r>
    <w:r w:rsidR="00015D35">
      <w:rPr>
        <w:bCs/>
        <w:noProof/>
        <w:color w:val="808080" w:themeColor="background1" w:themeShade="80"/>
      </w:rPr>
      <w:t>1</w:t>
    </w:r>
    <w:r w:rsidRPr="008E4C6E">
      <w:rPr>
        <w:bCs/>
        <w:color w:val="808080" w:themeColor="background1" w:themeShade="80"/>
      </w:rPr>
      <w:fldChar w:fldCharType="end"/>
    </w:r>
  </w:p>
  <w:p w14:paraId="4D68A2A3" w14:textId="3634674B" w:rsidR="00813CC4" w:rsidRPr="006B7C16" w:rsidRDefault="00813CC4" w:rsidP="00E34FAC">
    <w:pPr>
      <w:spacing w:after="0"/>
      <w:jc w:val="center"/>
      <w:rPr>
        <w:color w:val="808080" w:themeColor="background1" w:themeShade="80"/>
        <w:sz w:val="16"/>
        <w:szCs w:val="16"/>
      </w:rPr>
    </w:pPr>
    <w:r w:rsidRPr="006B7C16">
      <w:rPr>
        <w:color w:val="808080" w:themeColor="background1" w:themeShade="80"/>
        <w:sz w:val="16"/>
        <w:szCs w:val="16"/>
      </w:rPr>
      <w:t>©201</w:t>
    </w:r>
    <w:r w:rsidR="009B355B">
      <w:rPr>
        <w:color w:val="808080" w:themeColor="background1" w:themeShade="80"/>
        <w:sz w:val="16"/>
        <w:szCs w:val="16"/>
      </w:rPr>
      <w:t>8</w:t>
    </w:r>
    <w:r w:rsidRPr="006B7C16">
      <w:rPr>
        <w:color w:val="808080" w:themeColor="background1" w:themeShade="80"/>
        <w:sz w:val="16"/>
        <w:szCs w:val="16"/>
      </w:rPr>
      <w:t xml:space="preserve"> American Dental Association (ADA). All rights reserved.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C22DE"/>
    <w:multiLevelType w:val="hybridMultilevel"/>
    <w:tmpl w:val="A134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81FA5"/>
    <w:multiLevelType w:val="hybridMultilevel"/>
    <w:tmpl w:val="4882F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F1716"/>
    <w:multiLevelType w:val="hybridMultilevel"/>
    <w:tmpl w:val="D438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0020F"/>
    <w:multiLevelType w:val="hybridMultilevel"/>
    <w:tmpl w:val="3A36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E7139"/>
    <w:multiLevelType w:val="hybridMultilevel"/>
    <w:tmpl w:val="D70E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70726"/>
    <w:multiLevelType w:val="hybridMultilevel"/>
    <w:tmpl w:val="D438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3F41A5"/>
    <w:multiLevelType w:val="hybridMultilevel"/>
    <w:tmpl w:val="2F88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177ABE"/>
    <w:multiLevelType w:val="hybridMultilevel"/>
    <w:tmpl w:val="D438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B73130"/>
    <w:multiLevelType w:val="hybridMultilevel"/>
    <w:tmpl w:val="86BA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1436F"/>
    <w:multiLevelType w:val="hybridMultilevel"/>
    <w:tmpl w:val="9CD4FB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2F1640"/>
    <w:multiLevelType w:val="hybridMultilevel"/>
    <w:tmpl w:val="6E3A2B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C15DDF"/>
    <w:multiLevelType w:val="hybridMultilevel"/>
    <w:tmpl w:val="ED54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8A792F"/>
    <w:multiLevelType w:val="hybridMultilevel"/>
    <w:tmpl w:val="8AD0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92F2F"/>
    <w:multiLevelType w:val="hybridMultilevel"/>
    <w:tmpl w:val="D438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697F54"/>
    <w:multiLevelType w:val="hybridMultilevel"/>
    <w:tmpl w:val="3D8A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D51D23"/>
    <w:multiLevelType w:val="hybridMultilevel"/>
    <w:tmpl w:val="F340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374A7F"/>
    <w:multiLevelType w:val="hybridMultilevel"/>
    <w:tmpl w:val="6F5A2B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54443C"/>
    <w:multiLevelType w:val="hybridMultilevel"/>
    <w:tmpl w:val="010CA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6460EC"/>
    <w:multiLevelType w:val="hybridMultilevel"/>
    <w:tmpl w:val="D438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AF3DAF"/>
    <w:multiLevelType w:val="hybridMultilevel"/>
    <w:tmpl w:val="545A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A74A6E"/>
    <w:multiLevelType w:val="hybridMultilevel"/>
    <w:tmpl w:val="D438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BF0DD4"/>
    <w:multiLevelType w:val="hybridMultilevel"/>
    <w:tmpl w:val="A2A64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CE2709"/>
    <w:multiLevelType w:val="hybridMultilevel"/>
    <w:tmpl w:val="7FB8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591243"/>
    <w:multiLevelType w:val="hybridMultilevel"/>
    <w:tmpl w:val="A840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3C7BD5"/>
    <w:multiLevelType w:val="hybridMultilevel"/>
    <w:tmpl w:val="D4CC4BE4"/>
    <w:lvl w:ilvl="0" w:tplc="FF6423FA">
      <w:start w:val="1"/>
      <w:numFmt w:val="bullet"/>
      <w:lvlText w:val="•"/>
      <w:lvlJc w:val="left"/>
      <w:pPr>
        <w:tabs>
          <w:tab w:val="num" w:pos="720"/>
        </w:tabs>
        <w:ind w:left="720" w:hanging="360"/>
      </w:pPr>
      <w:rPr>
        <w:rFonts w:ascii="Arial" w:hAnsi="Arial" w:hint="default"/>
      </w:rPr>
    </w:lvl>
    <w:lvl w:ilvl="1" w:tplc="B3401B0E" w:tentative="1">
      <w:start w:val="1"/>
      <w:numFmt w:val="bullet"/>
      <w:lvlText w:val="•"/>
      <w:lvlJc w:val="left"/>
      <w:pPr>
        <w:tabs>
          <w:tab w:val="num" w:pos="1440"/>
        </w:tabs>
        <w:ind w:left="1440" w:hanging="360"/>
      </w:pPr>
      <w:rPr>
        <w:rFonts w:ascii="Arial" w:hAnsi="Arial" w:hint="default"/>
      </w:rPr>
    </w:lvl>
    <w:lvl w:ilvl="2" w:tplc="6C1E3BF6" w:tentative="1">
      <w:start w:val="1"/>
      <w:numFmt w:val="bullet"/>
      <w:lvlText w:val="•"/>
      <w:lvlJc w:val="left"/>
      <w:pPr>
        <w:tabs>
          <w:tab w:val="num" w:pos="2160"/>
        </w:tabs>
        <w:ind w:left="2160" w:hanging="360"/>
      </w:pPr>
      <w:rPr>
        <w:rFonts w:ascii="Arial" w:hAnsi="Arial" w:hint="default"/>
      </w:rPr>
    </w:lvl>
    <w:lvl w:ilvl="3" w:tplc="B248E2CE" w:tentative="1">
      <w:start w:val="1"/>
      <w:numFmt w:val="bullet"/>
      <w:lvlText w:val="•"/>
      <w:lvlJc w:val="left"/>
      <w:pPr>
        <w:tabs>
          <w:tab w:val="num" w:pos="2880"/>
        </w:tabs>
        <w:ind w:left="2880" w:hanging="360"/>
      </w:pPr>
      <w:rPr>
        <w:rFonts w:ascii="Arial" w:hAnsi="Arial" w:hint="default"/>
      </w:rPr>
    </w:lvl>
    <w:lvl w:ilvl="4" w:tplc="A1F6E864" w:tentative="1">
      <w:start w:val="1"/>
      <w:numFmt w:val="bullet"/>
      <w:lvlText w:val="•"/>
      <w:lvlJc w:val="left"/>
      <w:pPr>
        <w:tabs>
          <w:tab w:val="num" w:pos="3600"/>
        </w:tabs>
        <w:ind w:left="3600" w:hanging="360"/>
      </w:pPr>
      <w:rPr>
        <w:rFonts w:ascii="Arial" w:hAnsi="Arial" w:hint="default"/>
      </w:rPr>
    </w:lvl>
    <w:lvl w:ilvl="5" w:tplc="04FEEBD0" w:tentative="1">
      <w:start w:val="1"/>
      <w:numFmt w:val="bullet"/>
      <w:lvlText w:val="•"/>
      <w:lvlJc w:val="left"/>
      <w:pPr>
        <w:tabs>
          <w:tab w:val="num" w:pos="4320"/>
        </w:tabs>
        <w:ind w:left="4320" w:hanging="360"/>
      </w:pPr>
      <w:rPr>
        <w:rFonts w:ascii="Arial" w:hAnsi="Arial" w:hint="default"/>
      </w:rPr>
    </w:lvl>
    <w:lvl w:ilvl="6" w:tplc="2A04695A" w:tentative="1">
      <w:start w:val="1"/>
      <w:numFmt w:val="bullet"/>
      <w:lvlText w:val="•"/>
      <w:lvlJc w:val="left"/>
      <w:pPr>
        <w:tabs>
          <w:tab w:val="num" w:pos="5040"/>
        </w:tabs>
        <w:ind w:left="5040" w:hanging="360"/>
      </w:pPr>
      <w:rPr>
        <w:rFonts w:ascii="Arial" w:hAnsi="Arial" w:hint="default"/>
      </w:rPr>
    </w:lvl>
    <w:lvl w:ilvl="7" w:tplc="3BFEF862" w:tentative="1">
      <w:start w:val="1"/>
      <w:numFmt w:val="bullet"/>
      <w:lvlText w:val="•"/>
      <w:lvlJc w:val="left"/>
      <w:pPr>
        <w:tabs>
          <w:tab w:val="num" w:pos="5760"/>
        </w:tabs>
        <w:ind w:left="5760" w:hanging="360"/>
      </w:pPr>
      <w:rPr>
        <w:rFonts w:ascii="Arial" w:hAnsi="Arial" w:hint="default"/>
      </w:rPr>
    </w:lvl>
    <w:lvl w:ilvl="8" w:tplc="515CAF32" w:tentative="1">
      <w:start w:val="1"/>
      <w:numFmt w:val="bullet"/>
      <w:lvlText w:val="•"/>
      <w:lvlJc w:val="left"/>
      <w:pPr>
        <w:tabs>
          <w:tab w:val="num" w:pos="6480"/>
        </w:tabs>
        <w:ind w:left="6480" w:hanging="360"/>
      </w:pPr>
      <w:rPr>
        <w:rFonts w:ascii="Arial" w:hAnsi="Arial" w:hint="default"/>
      </w:rPr>
    </w:lvl>
  </w:abstractNum>
  <w:abstractNum w:abstractNumId="25">
    <w:nsid w:val="75383ADA"/>
    <w:multiLevelType w:val="hybridMultilevel"/>
    <w:tmpl w:val="DF902FF0"/>
    <w:lvl w:ilvl="0" w:tplc="8EE678C8">
      <w:start w:val="1"/>
      <w:numFmt w:val="decimal"/>
      <w:lvlText w:val="%1."/>
      <w:lvlJc w:val="left"/>
      <w:pPr>
        <w:tabs>
          <w:tab w:val="num" w:pos="720"/>
        </w:tabs>
        <w:ind w:left="720" w:hanging="360"/>
      </w:pPr>
    </w:lvl>
    <w:lvl w:ilvl="1" w:tplc="0FDCB9F8" w:tentative="1">
      <w:start w:val="1"/>
      <w:numFmt w:val="decimal"/>
      <w:lvlText w:val="%2."/>
      <w:lvlJc w:val="left"/>
      <w:pPr>
        <w:tabs>
          <w:tab w:val="num" w:pos="1440"/>
        </w:tabs>
        <w:ind w:left="1440" w:hanging="360"/>
      </w:pPr>
    </w:lvl>
    <w:lvl w:ilvl="2" w:tplc="EE722B28" w:tentative="1">
      <w:start w:val="1"/>
      <w:numFmt w:val="decimal"/>
      <w:lvlText w:val="%3."/>
      <w:lvlJc w:val="left"/>
      <w:pPr>
        <w:tabs>
          <w:tab w:val="num" w:pos="2160"/>
        </w:tabs>
        <w:ind w:left="2160" w:hanging="360"/>
      </w:pPr>
    </w:lvl>
    <w:lvl w:ilvl="3" w:tplc="F75E7C4E" w:tentative="1">
      <w:start w:val="1"/>
      <w:numFmt w:val="decimal"/>
      <w:lvlText w:val="%4."/>
      <w:lvlJc w:val="left"/>
      <w:pPr>
        <w:tabs>
          <w:tab w:val="num" w:pos="2880"/>
        </w:tabs>
        <w:ind w:left="2880" w:hanging="360"/>
      </w:pPr>
    </w:lvl>
    <w:lvl w:ilvl="4" w:tplc="2E0CF690" w:tentative="1">
      <w:start w:val="1"/>
      <w:numFmt w:val="decimal"/>
      <w:lvlText w:val="%5."/>
      <w:lvlJc w:val="left"/>
      <w:pPr>
        <w:tabs>
          <w:tab w:val="num" w:pos="3600"/>
        </w:tabs>
        <w:ind w:left="3600" w:hanging="360"/>
      </w:pPr>
    </w:lvl>
    <w:lvl w:ilvl="5" w:tplc="B7FCC6D6" w:tentative="1">
      <w:start w:val="1"/>
      <w:numFmt w:val="decimal"/>
      <w:lvlText w:val="%6."/>
      <w:lvlJc w:val="left"/>
      <w:pPr>
        <w:tabs>
          <w:tab w:val="num" w:pos="4320"/>
        </w:tabs>
        <w:ind w:left="4320" w:hanging="360"/>
      </w:pPr>
    </w:lvl>
    <w:lvl w:ilvl="6" w:tplc="7AC2DB28" w:tentative="1">
      <w:start w:val="1"/>
      <w:numFmt w:val="decimal"/>
      <w:lvlText w:val="%7."/>
      <w:lvlJc w:val="left"/>
      <w:pPr>
        <w:tabs>
          <w:tab w:val="num" w:pos="5040"/>
        </w:tabs>
        <w:ind w:left="5040" w:hanging="360"/>
      </w:pPr>
    </w:lvl>
    <w:lvl w:ilvl="7" w:tplc="12AE0D6A" w:tentative="1">
      <w:start w:val="1"/>
      <w:numFmt w:val="decimal"/>
      <w:lvlText w:val="%8."/>
      <w:lvlJc w:val="left"/>
      <w:pPr>
        <w:tabs>
          <w:tab w:val="num" w:pos="5760"/>
        </w:tabs>
        <w:ind w:left="5760" w:hanging="360"/>
      </w:pPr>
    </w:lvl>
    <w:lvl w:ilvl="8" w:tplc="E972580A" w:tentative="1">
      <w:start w:val="1"/>
      <w:numFmt w:val="decimal"/>
      <w:lvlText w:val="%9."/>
      <w:lvlJc w:val="left"/>
      <w:pPr>
        <w:tabs>
          <w:tab w:val="num" w:pos="6480"/>
        </w:tabs>
        <w:ind w:left="6480" w:hanging="360"/>
      </w:pPr>
    </w:lvl>
  </w:abstractNum>
  <w:num w:numId="1">
    <w:abstractNumId w:val="24"/>
  </w:num>
  <w:num w:numId="2">
    <w:abstractNumId w:val="23"/>
  </w:num>
  <w:num w:numId="3">
    <w:abstractNumId w:val="22"/>
  </w:num>
  <w:num w:numId="4">
    <w:abstractNumId w:val="11"/>
  </w:num>
  <w:num w:numId="5">
    <w:abstractNumId w:val="21"/>
  </w:num>
  <w:num w:numId="6">
    <w:abstractNumId w:val="17"/>
  </w:num>
  <w:num w:numId="7">
    <w:abstractNumId w:val="1"/>
  </w:num>
  <w:num w:numId="8">
    <w:abstractNumId w:val="25"/>
  </w:num>
  <w:num w:numId="9">
    <w:abstractNumId w:val="16"/>
  </w:num>
  <w:num w:numId="10">
    <w:abstractNumId w:val="10"/>
  </w:num>
  <w:num w:numId="11">
    <w:abstractNumId w:val="9"/>
  </w:num>
  <w:num w:numId="12">
    <w:abstractNumId w:val="4"/>
  </w:num>
  <w:num w:numId="13">
    <w:abstractNumId w:val="6"/>
  </w:num>
  <w:num w:numId="14">
    <w:abstractNumId w:val="19"/>
  </w:num>
  <w:num w:numId="15">
    <w:abstractNumId w:val="8"/>
  </w:num>
  <w:num w:numId="16">
    <w:abstractNumId w:val="3"/>
  </w:num>
  <w:num w:numId="17">
    <w:abstractNumId w:val="5"/>
  </w:num>
  <w:num w:numId="18">
    <w:abstractNumId w:val="2"/>
  </w:num>
  <w:num w:numId="19">
    <w:abstractNumId w:val="7"/>
  </w:num>
  <w:num w:numId="20">
    <w:abstractNumId w:val="20"/>
  </w:num>
  <w:num w:numId="21">
    <w:abstractNumId w:val="18"/>
  </w:num>
  <w:num w:numId="22">
    <w:abstractNumId w:val="13"/>
  </w:num>
  <w:num w:numId="23">
    <w:abstractNumId w:val="0"/>
  </w:num>
  <w:num w:numId="24">
    <w:abstractNumId w:val="14"/>
  </w:num>
  <w:num w:numId="25">
    <w:abstractNumId w:val="1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4BB"/>
    <w:rsid w:val="00012F8F"/>
    <w:rsid w:val="00015D35"/>
    <w:rsid w:val="000224DF"/>
    <w:rsid w:val="00031612"/>
    <w:rsid w:val="00080602"/>
    <w:rsid w:val="000A1E15"/>
    <w:rsid w:val="000B1896"/>
    <w:rsid w:val="000C5EDC"/>
    <w:rsid w:val="000C64A8"/>
    <w:rsid w:val="000E2C1F"/>
    <w:rsid w:val="001158E5"/>
    <w:rsid w:val="00147518"/>
    <w:rsid w:val="001B1F75"/>
    <w:rsid w:val="001D07B5"/>
    <w:rsid w:val="001D0EC8"/>
    <w:rsid w:val="001F11BD"/>
    <w:rsid w:val="00213552"/>
    <w:rsid w:val="002310AC"/>
    <w:rsid w:val="00244114"/>
    <w:rsid w:val="002670E2"/>
    <w:rsid w:val="002D04C0"/>
    <w:rsid w:val="002D4D78"/>
    <w:rsid w:val="002E4F2A"/>
    <w:rsid w:val="002E7553"/>
    <w:rsid w:val="002E7C64"/>
    <w:rsid w:val="00303654"/>
    <w:rsid w:val="00306984"/>
    <w:rsid w:val="003116EF"/>
    <w:rsid w:val="00323AF2"/>
    <w:rsid w:val="003308CB"/>
    <w:rsid w:val="00361943"/>
    <w:rsid w:val="0036559D"/>
    <w:rsid w:val="003713F6"/>
    <w:rsid w:val="003761A6"/>
    <w:rsid w:val="00376979"/>
    <w:rsid w:val="00380008"/>
    <w:rsid w:val="003922C7"/>
    <w:rsid w:val="00395371"/>
    <w:rsid w:val="003A6D68"/>
    <w:rsid w:val="003F5056"/>
    <w:rsid w:val="00401987"/>
    <w:rsid w:val="00413599"/>
    <w:rsid w:val="00461746"/>
    <w:rsid w:val="0046392F"/>
    <w:rsid w:val="00470409"/>
    <w:rsid w:val="004B13B9"/>
    <w:rsid w:val="004E26EC"/>
    <w:rsid w:val="00502B5E"/>
    <w:rsid w:val="00505AF7"/>
    <w:rsid w:val="005239D5"/>
    <w:rsid w:val="00524529"/>
    <w:rsid w:val="0052740F"/>
    <w:rsid w:val="00531FBD"/>
    <w:rsid w:val="00534652"/>
    <w:rsid w:val="00552AF2"/>
    <w:rsid w:val="0056420B"/>
    <w:rsid w:val="0058756F"/>
    <w:rsid w:val="005978C6"/>
    <w:rsid w:val="005A7ABD"/>
    <w:rsid w:val="005B37A0"/>
    <w:rsid w:val="005B4E9B"/>
    <w:rsid w:val="005C0B23"/>
    <w:rsid w:val="005E2D5B"/>
    <w:rsid w:val="005F0EAE"/>
    <w:rsid w:val="005F2A61"/>
    <w:rsid w:val="00651552"/>
    <w:rsid w:val="0068170A"/>
    <w:rsid w:val="00687066"/>
    <w:rsid w:val="00690EF5"/>
    <w:rsid w:val="0069460A"/>
    <w:rsid w:val="00694D26"/>
    <w:rsid w:val="006A7F90"/>
    <w:rsid w:val="006B7C16"/>
    <w:rsid w:val="006C4944"/>
    <w:rsid w:val="006D16B9"/>
    <w:rsid w:val="006F0271"/>
    <w:rsid w:val="00710E5E"/>
    <w:rsid w:val="00716949"/>
    <w:rsid w:val="007200C8"/>
    <w:rsid w:val="007316BB"/>
    <w:rsid w:val="00735404"/>
    <w:rsid w:val="007474BB"/>
    <w:rsid w:val="007A5F76"/>
    <w:rsid w:val="007C2668"/>
    <w:rsid w:val="007D2BAA"/>
    <w:rsid w:val="007F1B60"/>
    <w:rsid w:val="008038B2"/>
    <w:rsid w:val="00813CC4"/>
    <w:rsid w:val="008157E8"/>
    <w:rsid w:val="00822E20"/>
    <w:rsid w:val="00832BA4"/>
    <w:rsid w:val="00852394"/>
    <w:rsid w:val="00853D9A"/>
    <w:rsid w:val="008B0E57"/>
    <w:rsid w:val="008C1609"/>
    <w:rsid w:val="008D4391"/>
    <w:rsid w:val="008D7E5A"/>
    <w:rsid w:val="008E4C6E"/>
    <w:rsid w:val="008F1CC8"/>
    <w:rsid w:val="0090064B"/>
    <w:rsid w:val="00905A7F"/>
    <w:rsid w:val="009128FD"/>
    <w:rsid w:val="0092615E"/>
    <w:rsid w:val="0092638C"/>
    <w:rsid w:val="00942EC8"/>
    <w:rsid w:val="00952E3E"/>
    <w:rsid w:val="009607B4"/>
    <w:rsid w:val="009631D6"/>
    <w:rsid w:val="00982CAF"/>
    <w:rsid w:val="00985302"/>
    <w:rsid w:val="009868C7"/>
    <w:rsid w:val="009B355B"/>
    <w:rsid w:val="009E185D"/>
    <w:rsid w:val="009F205D"/>
    <w:rsid w:val="00A05BF7"/>
    <w:rsid w:val="00A05F32"/>
    <w:rsid w:val="00A37257"/>
    <w:rsid w:val="00A6013D"/>
    <w:rsid w:val="00A728CA"/>
    <w:rsid w:val="00A76099"/>
    <w:rsid w:val="00A969FB"/>
    <w:rsid w:val="00AA31B1"/>
    <w:rsid w:val="00AB0AE1"/>
    <w:rsid w:val="00AB2116"/>
    <w:rsid w:val="00AB2BE1"/>
    <w:rsid w:val="00AC36AE"/>
    <w:rsid w:val="00AE4AFB"/>
    <w:rsid w:val="00AF39AC"/>
    <w:rsid w:val="00B02737"/>
    <w:rsid w:val="00B237FF"/>
    <w:rsid w:val="00B43472"/>
    <w:rsid w:val="00B4594C"/>
    <w:rsid w:val="00B84682"/>
    <w:rsid w:val="00BC38D5"/>
    <w:rsid w:val="00BC5A82"/>
    <w:rsid w:val="00C00341"/>
    <w:rsid w:val="00C10305"/>
    <w:rsid w:val="00C140F3"/>
    <w:rsid w:val="00C24027"/>
    <w:rsid w:val="00C3319C"/>
    <w:rsid w:val="00C57241"/>
    <w:rsid w:val="00C65AA9"/>
    <w:rsid w:val="00C76E26"/>
    <w:rsid w:val="00CB4514"/>
    <w:rsid w:val="00CB65E0"/>
    <w:rsid w:val="00CC37A0"/>
    <w:rsid w:val="00D00AF3"/>
    <w:rsid w:val="00D04CC0"/>
    <w:rsid w:val="00D05C0B"/>
    <w:rsid w:val="00D211D9"/>
    <w:rsid w:val="00D409E3"/>
    <w:rsid w:val="00D42BF6"/>
    <w:rsid w:val="00D74F2E"/>
    <w:rsid w:val="00D7754E"/>
    <w:rsid w:val="00DC6730"/>
    <w:rsid w:val="00DE5CE7"/>
    <w:rsid w:val="00E14D5D"/>
    <w:rsid w:val="00E34FAC"/>
    <w:rsid w:val="00E531D6"/>
    <w:rsid w:val="00E726E5"/>
    <w:rsid w:val="00E83BBE"/>
    <w:rsid w:val="00E94588"/>
    <w:rsid w:val="00E97BCA"/>
    <w:rsid w:val="00EC23B3"/>
    <w:rsid w:val="00EC2F50"/>
    <w:rsid w:val="00ED177D"/>
    <w:rsid w:val="00EF0237"/>
    <w:rsid w:val="00EF3816"/>
    <w:rsid w:val="00F11351"/>
    <w:rsid w:val="00F33B87"/>
    <w:rsid w:val="00F41994"/>
    <w:rsid w:val="00F41F70"/>
    <w:rsid w:val="00F46DB9"/>
    <w:rsid w:val="00F6683F"/>
    <w:rsid w:val="00F87F18"/>
    <w:rsid w:val="00FA5CA9"/>
    <w:rsid w:val="00FA7032"/>
    <w:rsid w:val="00FB1F8F"/>
    <w:rsid w:val="00FC24E0"/>
    <w:rsid w:val="00FD1DE8"/>
    <w:rsid w:val="00FD2B3A"/>
    <w:rsid w:val="00FD3430"/>
    <w:rsid w:val="00FE0478"/>
    <w:rsid w:val="00FE53A6"/>
    <w:rsid w:val="00FF6036"/>
    <w:rsid w:val="00FF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0EDC1"/>
  <w15:chartTrackingRefBased/>
  <w15:docId w15:val="{B369F486-CA37-48E8-ABBF-6F66AE47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F32"/>
    <w:pPr>
      <w:spacing w:after="240"/>
    </w:pPr>
  </w:style>
  <w:style w:type="paragraph" w:styleId="Heading1">
    <w:name w:val="heading 1"/>
    <w:basedOn w:val="Normal"/>
    <w:link w:val="Heading1Char"/>
    <w:uiPriority w:val="9"/>
    <w:qFormat/>
    <w:rsid w:val="00213552"/>
    <w:pPr>
      <w:keepNext/>
      <w:spacing w:before="240" w:after="0"/>
      <w:outlineLvl w:val="0"/>
    </w:pPr>
    <w:rPr>
      <w:rFonts w:ascii="Calibri Light" w:hAnsi="Calibri Light" w:cs="Times New Roman"/>
      <w:color w:val="2F5496"/>
      <w:kern w:val="36"/>
      <w:sz w:val="32"/>
      <w:szCs w:val="32"/>
    </w:rPr>
  </w:style>
  <w:style w:type="paragraph" w:styleId="Heading2">
    <w:name w:val="heading 2"/>
    <w:basedOn w:val="Normal"/>
    <w:link w:val="Heading2Char"/>
    <w:uiPriority w:val="9"/>
    <w:semiHidden/>
    <w:unhideWhenUsed/>
    <w:qFormat/>
    <w:rsid w:val="00213552"/>
    <w:pPr>
      <w:keepNext/>
      <w:spacing w:before="40" w:after="0"/>
      <w:outlineLvl w:val="1"/>
    </w:pPr>
    <w:rPr>
      <w:rFonts w:ascii="Calibri Light"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1D6"/>
    <w:pPr>
      <w:tabs>
        <w:tab w:val="center" w:pos="4680"/>
        <w:tab w:val="right" w:pos="9360"/>
      </w:tabs>
      <w:spacing w:after="0"/>
    </w:pPr>
  </w:style>
  <w:style w:type="character" w:customStyle="1" w:styleId="HeaderChar">
    <w:name w:val="Header Char"/>
    <w:basedOn w:val="DefaultParagraphFont"/>
    <w:link w:val="Header"/>
    <w:uiPriority w:val="99"/>
    <w:rsid w:val="009631D6"/>
  </w:style>
  <w:style w:type="paragraph" w:styleId="Footer">
    <w:name w:val="footer"/>
    <w:basedOn w:val="Normal"/>
    <w:link w:val="FooterChar"/>
    <w:uiPriority w:val="99"/>
    <w:unhideWhenUsed/>
    <w:rsid w:val="009631D6"/>
    <w:pPr>
      <w:tabs>
        <w:tab w:val="center" w:pos="4680"/>
        <w:tab w:val="right" w:pos="9360"/>
      </w:tabs>
      <w:spacing w:after="0"/>
    </w:pPr>
  </w:style>
  <w:style w:type="character" w:customStyle="1" w:styleId="FooterChar">
    <w:name w:val="Footer Char"/>
    <w:basedOn w:val="DefaultParagraphFont"/>
    <w:link w:val="Footer"/>
    <w:uiPriority w:val="99"/>
    <w:rsid w:val="009631D6"/>
  </w:style>
  <w:style w:type="character" w:customStyle="1" w:styleId="Heading1Char">
    <w:name w:val="Heading 1 Char"/>
    <w:basedOn w:val="DefaultParagraphFont"/>
    <w:link w:val="Heading1"/>
    <w:uiPriority w:val="9"/>
    <w:rsid w:val="00213552"/>
    <w:rPr>
      <w:rFonts w:ascii="Calibri Light" w:hAnsi="Calibri Light" w:cs="Times New Roman"/>
      <w:color w:val="2F5496"/>
      <w:kern w:val="36"/>
      <w:sz w:val="32"/>
      <w:szCs w:val="32"/>
    </w:rPr>
  </w:style>
  <w:style w:type="character" w:customStyle="1" w:styleId="Heading2Char">
    <w:name w:val="Heading 2 Char"/>
    <w:basedOn w:val="DefaultParagraphFont"/>
    <w:link w:val="Heading2"/>
    <w:uiPriority w:val="9"/>
    <w:semiHidden/>
    <w:rsid w:val="00213552"/>
    <w:rPr>
      <w:rFonts w:ascii="Calibri Light" w:hAnsi="Calibri Light" w:cs="Times New Roman"/>
      <w:color w:val="2F5496"/>
      <w:sz w:val="26"/>
      <w:szCs w:val="26"/>
    </w:rPr>
  </w:style>
  <w:style w:type="paragraph" w:styleId="NoSpacing">
    <w:name w:val="No Spacing"/>
    <w:basedOn w:val="Normal"/>
    <w:uiPriority w:val="1"/>
    <w:qFormat/>
    <w:rsid w:val="00213552"/>
    <w:pPr>
      <w:spacing w:after="0"/>
    </w:pPr>
    <w:rPr>
      <w:rFonts w:ascii="Calibri" w:hAnsi="Calibri" w:cs="Times New Roman"/>
      <w:sz w:val="22"/>
      <w:szCs w:val="22"/>
    </w:rPr>
  </w:style>
  <w:style w:type="character" w:styleId="Hyperlink">
    <w:name w:val="Hyperlink"/>
    <w:basedOn w:val="DefaultParagraphFont"/>
    <w:uiPriority w:val="99"/>
    <w:unhideWhenUsed/>
    <w:rsid w:val="00213552"/>
    <w:rPr>
      <w:color w:val="0000FF"/>
      <w:u w:val="single"/>
    </w:rPr>
  </w:style>
  <w:style w:type="paragraph" w:styleId="NormalWeb">
    <w:name w:val="Normal (Web)"/>
    <w:basedOn w:val="Normal"/>
    <w:uiPriority w:val="99"/>
    <w:semiHidden/>
    <w:unhideWhenUsed/>
    <w:rsid w:val="00213552"/>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213552"/>
    <w:rPr>
      <w:i/>
      <w:iCs/>
    </w:rPr>
  </w:style>
  <w:style w:type="paragraph" w:styleId="ListParagraph">
    <w:name w:val="List Paragraph"/>
    <w:basedOn w:val="Normal"/>
    <w:uiPriority w:val="34"/>
    <w:qFormat/>
    <w:rsid w:val="00E14D5D"/>
    <w:pPr>
      <w:ind w:left="720"/>
      <w:contextualSpacing/>
    </w:pPr>
  </w:style>
  <w:style w:type="character" w:styleId="FollowedHyperlink">
    <w:name w:val="FollowedHyperlink"/>
    <w:basedOn w:val="DefaultParagraphFont"/>
    <w:uiPriority w:val="99"/>
    <w:semiHidden/>
    <w:unhideWhenUsed/>
    <w:rsid w:val="00A37257"/>
    <w:rPr>
      <w:color w:val="954F72" w:themeColor="followedHyperlink"/>
      <w:u w:val="single"/>
    </w:rPr>
  </w:style>
  <w:style w:type="table" w:styleId="TableGrid">
    <w:name w:val="Table Grid"/>
    <w:basedOn w:val="TableNormal"/>
    <w:uiPriority w:val="39"/>
    <w:rsid w:val="00A760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F1CC8"/>
    <w:rPr>
      <w:sz w:val="16"/>
      <w:szCs w:val="16"/>
    </w:rPr>
  </w:style>
  <w:style w:type="paragraph" w:styleId="CommentText">
    <w:name w:val="annotation text"/>
    <w:basedOn w:val="Normal"/>
    <w:link w:val="CommentTextChar"/>
    <w:uiPriority w:val="99"/>
    <w:semiHidden/>
    <w:unhideWhenUsed/>
    <w:rsid w:val="008F1CC8"/>
  </w:style>
  <w:style w:type="character" w:customStyle="1" w:styleId="CommentTextChar">
    <w:name w:val="Comment Text Char"/>
    <w:basedOn w:val="DefaultParagraphFont"/>
    <w:link w:val="CommentText"/>
    <w:uiPriority w:val="99"/>
    <w:semiHidden/>
    <w:rsid w:val="008F1CC8"/>
  </w:style>
  <w:style w:type="paragraph" w:styleId="CommentSubject">
    <w:name w:val="annotation subject"/>
    <w:basedOn w:val="CommentText"/>
    <w:next w:val="CommentText"/>
    <w:link w:val="CommentSubjectChar"/>
    <w:uiPriority w:val="99"/>
    <w:semiHidden/>
    <w:unhideWhenUsed/>
    <w:rsid w:val="008F1CC8"/>
    <w:rPr>
      <w:b/>
      <w:bCs/>
    </w:rPr>
  </w:style>
  <w:style w:type="character" w:customStyle="1" w:styleId="CommentSubjectChar">
    <w:name w:val="Comment Subject Char"/>
    <w:basedOn w:val="CommentTextChar"/>
    <w:link w:val="CommentSubject"/>
    <w:uiPriority w:val="99"/>
    <w:semiHidden/>
    <w:rsid w:val="008F1CC8"/>
    <w:rPr>
      <w:b/>
      <w:bCs/>
    </w:rPr>
  </w:style>
  <w:style w:type="paragraph" w:styleId="BalloonText">
    <w:name w:val="Balloon Text"/>
    <w:basedOn w:val="Normal"/>
    <w:link w:val="BalloonTextChar"/>
    <w:uiPriority w:val="99"/>
    <w:semiHidden/>
    <w:unhideWhenUsed/>
    <w:rsid w:val="008F1CC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C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8605">
      <w:bodyDiv w:val="1"/>
      <w:marLeft w:val="0"/>
      <w:marRight w:val="0"/>
      <w:marTop w:val="0"/>
      <w:marBottom w:val="0"/>
      <w:divBdr>
        <w:top w:val="none" w:sz="0" w:space="0" w:color="auto"/>
        <w:left w:val="none" w:sz="0" w:space="0" w:color="auto"/>
        <w:bottom w:val="none" w:sz="0" w:space="0" w:color="auto"/>
        <w:right w:val="none" w:sz="0" w:space="0" w:color="auto"/>
      </w:divBdr>
    </w:div>
    <w:div w:id="174997601">
      <w:bodyDiv w:val="1"/>
      <w:marLeft w:val="0"/>
      <w:marRight w:val="0"/>
      <w:marTop w:val="0"/>
      <w:marBottom w:val="0"/>
      <w:divBdr>
        <w:top w:val="none" w:sz="0" w:space="0" w:color="auto"/>
        <w:left w:val="none" w:sz="0" w:space="0" w:color="auto"/>
        <w:bottom w:val="none" w:sz="0" w:space="0" w:color="auto"/>
        <w:right w:val="none" w:sz="0" w:space="0" w:color="auto"/>
      </w:divBdr>
    </w:div>
    <w:div w:id="186605050">
      <w:bodyDiv w:val="1"/>
      <w:marLeft w:val="0"/>
      <w:marRight w:val="0"/>
      <w:marTop w:val="0"/>
      <w:marBottom w:val="0"/>
      <w:divBdr>
        <w:top w:val="none" w:sz="0" w:space="0" w:color="auto"/>
        <w:left w:val="none" w:sz="0" w:space="0" w:color="auto"/>
        <w:bottom w:val="none" w:sz="0" w:space="0" w:color="auto"/>
        <w:right w:val="none" w:sz="0" w:space="0" w:color="auto"/>
      </w:divBdr>
    </w:div>
    <w:div w:id="237984560">
      <w:bodyDiv w:val="1"/>
      <w:marLeft w:val="0"/>
      <w:marRight w:val="0"/>
      <w:marTop w:val="0"/>
      <w:marBottom w:val="0"/>
      <w:divBdr>
        <w:top w:val="none" w:sz="0" w:space="0" w:color="auto"/>
        <w:left w:val="none" w:sz="0" w:space="0" w:color="auto"/>
        <w:bottom w:val="none" w:sz="0" w:space="0" w:color="auto"/>
        <w:right w:val="none" w:sz="0" w:space="0" w:color="auto"/>
      </w:divBdr>
    </w:div>
    <w:div w:id="305625877">
      <w:bodyDiv w:val="1"/>
      <w:marLeft w:val="0"/>
      <w:marRight w:val="0"/>
      <w:marTop w:val="0"/>
      <w:marBottom w:val="0"/>
      <w:divBdr>
        <w:top w:val="none" w:sz="0" w:space="0" w:color="auto"/>
        <w:left w:val="none" w:sz="0" w:space="0" w:color="auto"/>
        <w:bottom w:val="none" w:sz="0" w:space="0" w:color="auto"/>
        <w:right w:val="none" w:sz="0" w:space="0" w:color="auto"/>
      </w:divBdr>
    </w:div>
    <w:div w:id="492842036">
      <w:bodyDiv w:val="1"/>
      <w:marLeft w:val="0"/>
      <w:marRight w:val="0"/>
      <w:marTop w:val="0"/>
      <w:marBottom w:val="0"/>
      <w:divBdr>
        <w:top w:val="none" w:sz="0" w:space="0" w:color="auto"/>
        <w:left w:val="none" w:sz="0" w:space="0" w:color="auto"/>
        <w:bottom w:val="none" w:sz="0" w:space="0" w:color="auto"/>
        <w:right w:val="none" w:sz="0" w:space="0" w:color="auto"/>
      </w:divBdr>
      <w:divsChild>
        <w:div w:id="536352196">
          <w:marLeft w:val="0"/>
          <w:marRight w:val="0"/>
          <w:marTop w:val="0"/>
          <w:marBottom w:val="0"/>
          <w:divBdr>
            <w:top w:val="none" w:sz="0" w:space="0" w:color="auto"/>
            <w:left w:val="none" w:sz="0" w:space="0" w:color="auto"/>
            <w:bottom w:val="none" w:sz="0" w:space="0" w:color="auto"/>
            <w:right w:val="none" w:sz="0" w:space="0" w:color="auto"/>
          </w:divBdr>
          <w:divsChild>
            <w:div w:id="532352879">
              <w:marLeft w:val="0"/>
              <w:marRight w:val="0"/>
              <w:marTop w:val="0"/>
              <w:marBottom w:val="0"/>
              <w:divBdr>
                <w:top w:val="none" w:sz="0" w:space="0" w:color="auto"/>
                <w:left w:val="none" w:sz="0" w:space="0" w:color="auto"/>
                <w:bottom w:val="none" w:sz="0" w:space="0" w:color="auto"/>
                <w:right w:val="none" w:sz="0" w:space="0" w:color="auto"/>
              </w:divBdr>
              <w:divsChild>
                <w:div w:id="520171197">
                  <w:marLeft w:val="0"/>
                  <w:marRight w:val="0"/>
                  <w:marTop w:val="0"/>
                  <w:marBottom w:val="0"/>
                  <w:divBdr>
                    <w:top w:val="none" w:sz="0" w:space="0" w:color="auto"/>
                    <w:left w:val="none" w:sz="0" w:space="0" w:color="auto"/>
                    <w:bottom w:val="none" w:sz="0" w:space="0" w:color="auto"/>
                    <w:right w:val="none" w:sz="0" w:space="0" w:color="auto"/>
                  </w:divBdr>
                  <w:divsChild>
                    <w:div w:id="1028945602">
                      <w:marLeft w:val="0"/>
                      <w:marRight w:val="0"/>
                      <w:marTop w:val="0"/>
                      <w:marBottom w:val="0"/>
                      <w:divBdr>
                        <w:top w:val="none" w:sz="0" w:space="0" w:color="auto"/>
                        <w:left w:val="none" w:sz="0" w:space="0" w:color="auto"/>
                        <w:bottom w:val="none" w:sz="0" w:space="0" w:color="auto"/>
                        <w:right w:val="none" w:sz="0" w:space="0" w:color="auto"/>
                      </w:divBdr>
                      <w:divsChild>
                        <w:div w:id="772823601">
                          <w:marLeft w:val="0"/>
                          <w:marRight w:val="0"/>
                          <w:marTop w:val="0"/>
                          <w:marBottom w:val="0"/>
                          <w:divBdr>
                            <w:top w:val="none" w:sz="0" w:space="0" w:color="auto"/>
                            <w:left w:val="none" w:sz="0" w:space="0" w:color="auto"/>
                            <w:bottom w:val="none" w:sz="0" w:space="0" w:color="auto"/>
                            <w:right w:val="none" w:sz="0" w:space="0" w:color="auto"/>
                          </w:divBdr>
                          <w:divsChild>
                            <w:div w:id="1646855493">
                              <w:marLeft w:val="0"/>
                              <w:marRight w:val="0"/>
                              <w:marTop w:val="0"/>
                              <w:marBottom w:val="0"/>
                              <w:divBdr>
                                <w:top w:val="none" w:sz="0" w:space="0" w:color="auto"/>
                                <w:left w:val="none" w:sz="0" w:space="0" w:color="auto"/>
                                <w:bottom w:val="none" w:sz="0" w:space="0" w:color="auto"/>
                                <w:right w:val="none" w:sz="0" w:space="0" w:color="auto"/>
                              </w:divBdr>
                              <w:divsChild>
                                <w:div w:id="531188020">
                                  <w:marLeft w:val="0"/>
                                  <w:marRight w:val="0"/>
                                  <w:marTop w:val="0"/>
                                  <w:marBottom w:val="0"/>
                                  <w:divBdr>
                                    <w:top w:val="none" w:sz="0" w:space="0" w:color="auto"/>
                                    <w:left w:val="none" w:sz="0" w:space="0" w:color="auto"/>
                                    <w:bottom w:val="none" w:sz="0" w:space="0" w:color="auto"/>
                                    <w:right w:val="none" w:sz="0" w:space="0" w:color="auto"/>
                                  </w:divBdr>
                                  <w:divsChild>
                                    <w:div w:id="2099598179">
                                      <w:marLeft w:val="0"/>
                                      <w:marRight w:val="0"/>
                                      <w:marTop w:val="0"/>
                                      <w:marBottom w:val="0"/>
                                      <w:divBdr>
                                        <w:top w:val="none" w:sz="0" w:space="0" w:color="auto"/>
                                        <w:left w:val="none" w:sz="0" w:space="0" w:color="auto"/>
                                        <w:bottom w:val="none" w:sz="0" w:space="0" w:color="auto"/>
                                        <w:right w:val="none" w:sz="0" w:space="0" w:color="auto"/>
                                      </w:divBdr>
                                      <w:divsChild>
                                        <w:div w:id="33890980">
                                          <w:marLeft w:val="0"/>
                                          <w:marRight w:val="0"/>
                                          <w:marTop w:val="0"/>
                                          <w:marBottom w:val="0"/>
                                          <w:divBdr>
                                            <w:top w:val="none" w:sz="0" w:space="0" w:color="auto"/>
                                            <w:left w:val="none" w:sz="0" w:space="0" w:color="auto"/>
                                            <w:bottom w:val="none" w:sz="0" w:space="0" w:color="auto"/>
                                            <w:right w:val="none" w:sz="0" w:space="0" w:color="auto"/>
                                          </w:divBdr>
                                          <w:divsChild>
                                            <w:div w:id="1705863852">
                                              <w:marLeft w:val="0"/>
                                              <w:marRight w:val="0"/>
                                              <w:marTop w:val="0"/>
                                              <w:marBottom w:val="0"/>
                                              <w:divBdr>
                                                <w:top w:val="none" w:sz="0" w:space="0" w:color="auto"/>
                                                <w:left w:val="none" w:sz="0" w:space="0" w:color="auto"/>
                                                <w:bottom w:val="none" w:sz="0" w:space="0" w:color="auto"/>
                                                <w:right w:val="none" w:sz="0" w:space="0" w:color="auto"/>
                                              </w:divBdr>
                                              <w:divsChild>
                                                <w:div w:id="397942175">
                                                  <w:marLeft w:val="0"/>
                                                  <w:marRight w:val="0"/>
                                                  <w:marTop w:val="0"/>
                                                  <w:marBottom w:val="0"/>
                                                  <w:divBdr>
                                                    <w:top w:val="none" w:sz="0" w:space="0" w:color="auto"/>
                                                    <w:left w:val="none" w:sz="0" w:space="0" w:color="auto"/>
                                                    <w:bottom w:val="none" w:sz="0" w:space="0" w:color="auto"/>
                                                    <w:right w:val="none" w:sz="0" w:space="0" w:color="auto"/>
                                                  </w:divBdr>
                                                  <w:divsChild>
                                                    <w:div w:id="351538391">
                                                      <w:marLeft w:val="0"/>
                                                      <w:marRight w:val="0"/>
                                                      <w:marTop w:val="0"/>
                                                      <w:marBottom w:val="0"/>
                                                      <w:divBdr>
                                                        <w:top w:val="none" w:sz="0" w:space="0" w:color="auto"/>
                                                        <w:left w:val="none" w:sz="0" w:space="0" w:color="auto"/>
                                                        <w:bottom w:val="none" w:sz="0" w:space="0" w:color="auto"/>
                                                        <w:right w:val="none" w:sz="0" w:space="0" w:color="auto"/>
                                                      </w:divBdr>
                                                      <w:divsChild>
                                                        <w:div w:id="2473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5537845">
      <w:bodyDiv w:val="1"/>
      <w:marLeft w:val="0"/>
      <w:marRight w:val="0"/>
      <w:marTop w:val="0"/>
      <w:marBottom w:val="0"/>
      <w:divBdr>
        <w:top w:val="none" w:sz="0" w:space="0" w:color="auto"/>
        <w:left w:val="none" w:sz="0" w:space="0" w:color="auto"/>
        <w:bottom w:val="none" w:sz="0" w:space="0" w:color="auto"/>
        <w:right w:val="none" w:sz="0" w:space="0" w:color="auto"/>
      </w:divBdr>
    </w:div>
    <w:div w:id="941913291">
      <w:bodyDiv w:val="1"/>
      <w:marLeft w:val="0"/>
      <w:marRight w:val="0"/>
      <w:marTop w:val="0"/>
      <w:marBottom w:val="0"/>
      <w:divBdr>
        <w:top w:val="none" w:sz="0" w:space="0" w:color="auto"/>
        <w:left w:val="none" w:sz="0" w:space="0" w:color="auto"/>
        <w:bottom w:val="none" w:sz="0" w:space="0" w:color="auto"/>
        <w:right w:val="none" w:sz="0" w:space="0" w:color="auto"/>
      </w:divBdr>
    </w:div>
    <w:div w:id="1106848050">
      <w:bodyDiv w:val="1"/>
      <w:marLeft w:val="0"/>
      <w:marRight w:val="0"/>
      <w:marTop w:val="0"/>
      <w:marBottom w:val="0"/>
      <w:divBdr>
        <w:top w:val="none" w:sz="0" w:space="0" w:color="auto"/>
        <w:left w:val="none" w:sz="0" w:space="0" w:color="auto"/>
        <w:bottom w:val="none" w:sz="0" w:space="0" w:color="auto"/>
        <w:right w:val="none" w:sz="0" w:space="0" w:color="auto"/>
      </w:divBdr>
    </w:div>
    <w:div w:id="1117682305">
      <w:bodyDiv w:val="1"/>
      <w:marLeft w:val="0"/>
      <w:marRight w:val="0"/>
      <w:marTop w:val="0"/>
      <w:marBottom w:val="0"/>
      <w:divBdr>
        <w:top w:val="none" w:sz="0" w:space="0" w:color="auto"/>
        <w:left w:val="none" w:sz="0" w:space="0" w:color="auto"/>
        <w:bottom w:val="none" w:sz="0" w:space="0" w:color="auto"/>
        <w:right w:val="none" w:sz="0" w:space="0" w:color="auto"/>
      </w:divBdr>
      <w:divsChild>
        <w:div w:id="1535457533">
          <w:marLeft w:val="547"/>
          <w:marRight w:val="0"/>
          <w:marTop w:val="480"/>
          <w:marBottom w:val="0"/>
          <w:divBdr>
            <w:top w:val="none" w:sz="0" w:space="0" w:color="auto"/>
            <w:left w:val="none" w:sz="0" w:space="0" w:color="auto"/>
            <w:bottom w:val="none" w:sz="0" w:space="0" w:color="auto"/>
            <w:right w:val="none" w:sz="0" w:space="0" w:color="auto"/>
          </w:divBdr>
        </w:div>
        <w:div w:id="220286531">
          <w:marLeft w:val="547"/>
          <w:marRight w:val="0"/>
          <w:marTop w:val="480"/>
          <w:marBottom w:val="0"/>
          <w:divBdr>
            <w:top w:val="none" w:sz="0" w:space="0" w:color="auto"/>
            <w:left w:val="none" w:sz="0" w:space="0" w:color="auto"/>
            <w:bottom w:val="none" w:sz="0" w:space="0" w:color="auto"/>
            <w:right w:val="none" w:sz="0" w:space="0" w:color="auto"/>
          </w:divBdr>
        </w:div>
        <w:div w:id="1122387686">
          <w:marLeft w:val="547"/>
          <w:marRight w:val="0"/>
          <w:marTop w:val="480"/>
          <w:marBottom w:val="0"/>
          <w:divBdr>
            <w:top w:val="none" w:sz="0" w:space="0" w:color="auto"/>
            <w:left w:val="none" w:sz="0" w:space="0" w:color="auto"/>
            <w:bottom w:val="none" w:sz="0" w:space="0" w:color="auto"/>
            <w:right w:val="none" w:sz="0" w:space="0" w:color="auto"/>
          </w:divBdr>
        </w:div>
        <w:div w:id="557782833">
          <w:marLeft w:val="547"/>
          <w:marRight w:val="0"/>
          <w:marTop w:val="480"/>
          <w:marBottom w:val="0"/>
          <w:divBdr>
            <w:top w:val="none" w:sz="0" w:space="0" w:color="auto"/>
            <w:left w:val="none" w:sz="0" w:space="0" w:color="auto"/>
            <w:bottom w:val="none" w:sz="0" w:space="0" w:color="auto"/>
            <w:right w:val="none" w:sz="0" w:space="0" w:color="auto"/>
          </w:divBdr>
        </w:div>
      </w:divsChild>
    </w:div>
    <w:div w:id="1226644203">
      <w:bodyDiv w:val="1"/>
      <w:marLeft w:val="0"/>
      <w:marRight w:val="0"/>
      <w:marTop w:val="0"/>
      <w:marBottom w:val="0"/>
      <w:divBdr>
        <w:top w:val="none" w:sz="0" w:space="0" w:color="auto"/>
        <w:left w:val="none" w:sz="0" w:space="0" w:color="auto"/>
        <w:bottom w:val="none" w:sz="0" w:space="0" w:color="auto"/>
        <w:right w:val="none" w:sz="0" w:space="0" w:color="auto"/>
      </w:divBdr>
    </w:div>
    <w:div w:id="1274747221">
      <w:bodyDiv w:val="1"/>
      <w:marLeft w:val="0"/>
      <w:marRight w:val="0"/>
      <w:marTop w:val="0"/>
      <w:marBottom w:val="0"/>
      <w:divBdr>
        <w:top w:val="none" w:sz="0" w:space="0" w:color="auto"/>
        <w:left w:val="none" w:sz="0" w:space="0" w:color="auto"/>
        <w:bottom w:val="none" w:sz="0" w:space="0" w:color="auto"/>
        <w:right w:val="none" w:sz="0" w:space="0" w:color="auto"/>
      </w:divBdr>
    </w:div>
    <w:div w:id="1316644915">
      <w:bodyDiv w:val="1"/>
      <w:marLeft w:val="0"/>
      <w:marRight w:val="0"/>
      <w:marTop w:val="0"/>
      <w:marBottom w:val="0"/>
      <w:divBdr>
        <w:top w:val="none" w:sz="0" w:space="0" w:color="auto"/>
        <w:left w:val="none" w:sz="0" w:space="0" w:color="auto"/>
        <w:bottom w:val="none" w:sz="0" w:space="0" w:color="auto"/>
        <w:right w:val="none" w:sz="0" w:space="0" w:color="auto"/>
      </w:divBdr>
    </w:div>
    <w:div w:id="1430735098">
      <w:bodyDiv w:val="1"/>
      <w:marLeft w:val="0"/>
      <w:marRight w:val="0"/>
      <w:marTop w:val="0"/>
      <w:marBottom w:val="0"/>
      <w:divBdr>
        <w:top w:val="none" w:sz="0" w:space="0" w:color="auto"/>
        <w:left w:val="none" w:sz="0" w:space="0" w:color="auto"/>
        <w:bottom w:val="none" w:sz="0" w:space="0" w:color="auto"/>
        <w:right w:val="none" w:sz="0" w:space="0" w:color="auto"/>
      </w:divBdr>
      <w:divsChild>
        <w:div w:id="1343899952">
          <w:marLeft w:val="0"/>
          <w:marRight w:val="0"/>
          <w:marTop w:val="0"/>
          <w:marBottom w:val="0"/>
          <w:divBdr>
            <w:top w:val="none" w:sz="0" w:space="0" w:color="auto"/>
            <w:left w:val="none" w:sz="0" w:space="0" w:color="auto"/>
            <w:bottom w:val="none" w:sz="0" w:space="0" w:color="auto"/>
            <w:right w:val="none" w:sz="0" w:space="0" w:color="auto"/>
          </w:divBdr>
          <w:divsChild>
            <w:div w:id="919171199">
              <w:marLeft w:val="0"/>
              <w:marRight w:val="0"/>
              <w:marTop w:val="0"/>
              <w:marBottom w:val="0"/>
              <w:divBdr>
                <w:top w:val="none" w:sz="0" w:space="0" w:color="auto"/>
                <w:left w:val="none" w:sz="0" w:space="0" w:color="auto"/>
                <w:bottom w:val="none" w:sz="0" w:space="0" w:color="auto"/>
                <w:right w:val="none" w:sz="0" w:space="0" w:color="auto"/>
              </w:divBdr>
              <w:divsChild>
                <w:div w:id="498469753">
                  <w:marLeft w:val="0"/>
                  <w:marRight w:val="0"/>
                  <w:marTop w:val="0"/>
                  <w:marBottom w:val="0"/>
                  <w:divBdr>
                    <w:top w:val="none" w:sz="0" w:space="0" w:color="auto"/>
                    <w:left w:val="none" w:sz="0" w:space="0" w:color="auto"/>
                    <w:bottom w:val="none" w:sz="0" w:space="0" w:color="auto"/>
                    <w:right w:val="none" w:sz="0" w:space="0" w:color="auto"/>
                  </w:divBdr>
                  <w:divsChild>
                    <w:div w:id="543754501">
                      <w:marLeft w:val="0"/>
                      <w:marRight w:val="0"/>
                      <w:marTop w:val="0"/>
                      <w:marBottom w:val="0"/>
                      <w:divBdr>
                        <w:top w:val="none" w:sz="0" w:space="0" w:color="auto"/>
                        <w:left w:val="none" w:sz="0" w:space="0" w:color="auto"/>
                        <w:bottom w:val="none" w:sz="0" w:space="0" w:color="auto"/>
                        <w:right w:val="none" w:sz="0" w:space="0" w:color="auto"/>
                      </w:divBdr>
                      <w:divsChild>
                        <w:div w:id="868571323">
                          <w:marLeft w:val="0"/>
                          <w:marRight w:val="0"/>
                          <w:marTop w:val="0"/>
                          <w:marBottom w:val="0"/>
                          <w:divBdr>
                            <w:top w:val="none" w:sz="0" w:space="0" w:color="auto"/>
                            <w:left w:val="none" w:sz="0" w:space="0" w:color="auto"/>
                            <w:bottom w:val="none" w:sz="0" w:space="0" w:color="auto"/>
                            <w:right w:val="none" w:sz="0" w:space="0" w:color="auto"/>
                          </w:divBdr>
                          <w:divsChild>
                            <w:div w:id="2071221072">
                              <w:marLeft w:val="0"/>
                              <w:marRight w:val="0"/>
                              <w:marTop w:val="0"/>
                              <w:marBottom w:val="0"/>
                              <w:divBdr>
                                <w:top w:val="none" w:sz="0" w:space="0" w:color="auto"/>
                                <w:left w:val="none" w:sz="0" w:space="0" w:color="auto"/>
                                <w:bottom w:val="none" w:sz="0" w:space="0" w:color="auto"/>
                                <w:right w:val="none" w:sz="0" w:space="0" w:color="auto"/>
                              </w:divBdr>
                              <w:divsChild>
                                <w:div w:id="565340190">
                                  <w:marLeft w:val="0"/>
                                  <w:marRight w:val="0"/>
                                  <w:marTop w:val="0"/>
                                  <w:marBottom w:val="0"/>
                                  <w:divBdr>
                                    <w:top w:val="none" w:sz="0" w:space="0" w:color="auto"/>
                                    <w:left w:val="none" w:sz="0" w:space="0" w:color="auto"/>
                                    <w:bottom w:val="none" w:sz="0" w:space="0" w:color="auto"/>
                                    <w:right w:val="none" w:sz="0" w:space="0" w:color="auto"/>
                                  </w:divBdr>
                                  <w:divsChild>
                                    <w:div w:id="159010962">
                                      <w:marLeft w:val="0"/>
                                      <w:marRight w:val="0"/>
                                      <w:marTop w:val="0"/>
                                      <w:marBottom w:val="0"/>
                                      <w:divBdr>
                                        <w:top w:val="none" w:sz="0" w:space="0" w:color="auto"/>
                                        <w:left w:val="none" w:sz="0" w:space="0" w:color="auto"/>
                                        <w:bottom w:val="none" w:sz="0" w:space="0" w:color="auto"/>
                                        <w:right w:val="none" w:sz="0" w:space="0" w:color="auto"/>
                                      </w:divBdr>
                                      <w:divsChild>
                                        <w:div w:id="1338462654">
                                          <w:marLeft w:val="0"/>
                                          <w:marRight w:val="0"/>
                                          <w:marTop w:val="0"/>
                                          <w:marBottom w:val="0"/>
                                          <w:divBdr>
                                            <w:top w:val="none" w:sz="0" w:space="0" w:color="auto"/>
                                            <w:left w:val="none" w:sz="0" w:space="0" w:color="auto"/>
                                            <w:bottom w:val="none" w:sz="0" w:space="0" w:color="auto"/>
                                            <w:right w:val="none" w:sz="0" w:space="0" w:color="auto"/>
                                          </w:divBdr>
                                          <w:divsChild>
                                            <w:div w:id="1007564876">
                                              <w:marLeft w:val="0"/>
                                              <w:marRight w:val="0"/>
                                              <w:marTop w:val="0"/>
                                              <w:marBottom w:val="0"/>
                                              <w:divBdr>
                                                <w:top w:val="none" w:sz="0" w:space="0" w:color="auto"/>
                                                <w:left w:val="none" w:sz="0" w:space="0" w:color="auto"/>
                                                <w:bottom w:val="none" w:sz="0" w:space="0" w:color="auto"/>
                                                <w:right w:val="none" w:sz="0" w:space="0" w:color="auto"/>
                                              </w:divBdr>
                                              <w:divsChild>
                                                <w:div w:id="1025521256">
                                                  <w:marLeft w:val="0"/>
                                                  <w:marRight w:val="0"/>
                                                  <w:marTop w:val="0"/>
                                                  <w:marBottom w:val="0"/>
                                                  <w:divBdr>
                                                    <w:top w:val="none" w:sz="0" w:space="0" w:color="auto"/>
                                                    <w:left w:val="none" w:sz="0" w:space="0" w:color="auto"/>
                                                    <w:bottom w:val="none" w:sz="0" w:space="0" w:color="auto"/>
                                                    <w:right w:val="none" w:sz="0" w:space="0" w:color="auto"/>
                                                  </w:divBdr>
                                                  <w:divsChild>
                                                    <w:div w:id="180245561">
                                                      <w:marLeft w:val="0"/>
                                                      <w:marRight w:val="0"/>
                                                      <w:marTop w:val="0"/>
                                                      <w:marBottom w:val="0"/>
                                                      <w:divBdr>
                                                        <w:top w:val="none" w:sz="0" w:space="0" w:color="auto"/>
                                                        <w:left w:val="none" w:sz="0" w:space="0" w:color="auto"/>
                                                        <w:bottom w:val="none" w:sz="0" w:space="0" w:color="auto"/>
                                                        <w:right w:val="none" w:sz="0" w:space="0" w:color="auto"/>
                                                      </w:divBdr>
                                                      <w:divsChild>
                                                        <w:div w:id="8243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0321699">
      <w:bodyDiv w:val="1"/>
      <w:marLeft w:val="0"/>
      <w:marRight w:val="0"/>
      <w:marTop w:val="0"/>
      <w:marBottom w:val="0"/>
      <w:divBdr>
        <w:top w:val="none" w:sz="0" w:space="0" w:color="auto"/>
        <w:left w:val="none" w:sz="0" w:space="0" w:color="auto"/>
        <w:bottom w:val="none" w:sz="0" w:space="0" w:color="auto"/>
        <w:right w:val="none" w:sz="0" w:space="0" w:color="auto"/>
      </w:divBdr>
    </w:div>
    <w:div w:id="1556619945">
      <w:bodyDiv w:val="1"/>
      <w:marLeft w:val="0"/>
      <w:marRight w:val="0"/>
      <w:marTop w:val="0"/>
      <w:marBottom w:val="0"/>
      <w:divBdr>
        <w:top w:val="none" w:sz="0" w:space="0" w:color="auto"/>
        <w:left w:val="none" w:sz="0" w:space="0" w:color="auto"/>
        <w:bottom w:val="none" w:sz="0" w:space="0" w:color="auto"/>
        <w:right w:val="none" w:sz="0" w:space="0" w:color="auto"/>
      </w:divBdr>
    </w:div>
    <w:div w:id="175932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ms.gov/files/document/guidance-letter-vcc-eft-era.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entalcode@ad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ama-assn.org/sites/default/files/media-browser/public/psa/eft-toolkit-full.pdf"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uccess.ada.org/en/dental-benefits/electronic-funds-transfer-payments-eft-webinar-exploding-the-my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c8ade31-da00-4660-8e20-33fdee1680bd">
      <Value>8</Value>
      <Value>2</Value>
      <Value>1345</Value>
    </TaxCatchAll>
    <ceddd298b65240b6a3a851f4b12c4614 xmlns="6c8ade31-da00-4660-8e20-33fdee1680bd">
      <Terms xmlns="http://schemas.microsoft.com/office/infopath/2007/PartnerControls">
        <TermInfo xmlns="http://schemas.microsoft.com/office/infopath/2007/PartnerControls">
          <TermName>Brief</TermName>
          <TermId>aca1d96d-3831-416f-a5ac-7b05c0dbfbe0</TermId>
        </TermInfo>
      </Terms>
    </ceddd298b65240b6a3a851f4b12c4614>
    <cc10842d4b8241f584833c53195dc016 xmlns="6c8ade31-da00-4660-8e20-33fdee1680bd">
      <Terms xmlns="http://schemas.microsoft.com/office/infopath/2007/PartnerControls">
        <TermInfo xmlns="http://schemas.microsoft.com/office/infopath/2007/PartnerControls">
          <TermName xmlns="http://schemas.microsoft.com/office/infopath/2007/PartnerControls">Center for Dental Benefits, Coding, ＆ Quality</TermName>
          <TermId xmlns="http://schemas.microsoft.com/office/infopath/2007/PartnerControls">8e64e950-e65b-4c6e-a993-f81dcc2ac970</TermId>
        </TermInfo>
      </Terms>
    </cc10842d4b8241f584833c53195dc016>
    <ac0dd78667084069ba9a7fed27907383 xmlns="6c8ade31-da00-4660-8e20-33fdee1680bd">
      <Terms xmlns="http://schemas.microsoft.com/office/infopath/2007/PartnerControls">
        <TermInfo xmlns="http://schemas.microsoft.com/office/infopath/2007/PartnerControls">
          <TermName xmlns="http://schemas.microsoft.com/office/infopath/2007/PartnerControls">Practice Institute</TermName>
          <TermId xmlns="http://schemas.microsoft.com/office/infopath/2007/PartnerControls">87e39726-db5a-428c-9cdf-a04852e4e140</TermId>
        </TermInfo>
      </Terms>
    </ac0dd78667084069ba9a7fed27907383>
    <TaxKeywordTaxHTField xmlns="6c8ade31-da00-4660-8e20-33fdee1680bd">
      <Terms xmlns="http://schemas.microsoft.com/office/infopath/2007/PartnerControls"/>
    </TaxKeywordTaxHTField>
    <_dlc_DocId xmlns="a7d41580-a8ee-402b-8dfe-f88e5ebe88b5">RPX32HJ2HKFD-58-622</_dlc_DocId>
    <_dlc_DocIdUrl xmlns="a7d41580-a8ee-402b-8dfe-f88e5ebe88b5">
      <Url>https://kc.ada.org/sites/practice/cdbcq/_layouts/15/DocIdRedir.aspx?ID=RPX32HJ2HKFD-58-622</Url>
      <Description>RPX32HJ2HKFD-58-622</Description>
    </_dlc_DocIdUrl>
  </documentManagement>
</p:properties>
</file>

<file path=customXml/item3.xml><?xml version="1.0" encoding="utf-8"?>
<?mso-contentType ?>
<SharedContentType xmlns="Microsoft.SharePoint.Taxonomy.ContentTypeSync" SourceId="975718fd-5203-40f4-9090-782adc176dc9" ContentTypeId="0x0101002103F21F9513D04D98FE1FBF67229DC5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ADA Document" ma:contentTypeID="0x0101002103F21F9513D04D98FE1FBF67229DC50100CBE4E7D22D55384ABFAB1DBDA05A6488" ma:contentTypeVersion="4" ma:contentTypeDescription="Content type for division and department documents at ADA" ma:contentTypeScope="" ma:versionID="2c1829942e8c2d005cc08d72ad2251db">
  <xsd:schema xmlns:xsd="http://www.w3.org/2001/XMLSchema" xmlns:xs="http://www.w3.org/2001/XMLSchema" xmlns:p="http://schemas.microsoft.com/office/2006/metadata/properties" xmlns:ns1="6c8ade31-da00-4660-8e20-33fdee1680bd" xmlns:ns3="a7d41580-a8ee-402b-8dfe-f88e5ebe88b5" targetNamespace="http://schemas.microsoft.com/office/2006/metadata/properties" ma:root="true" ma:fieldsID="574e2ef4ce9a84a7c0d8425615ce1beb" ns1:_="" ns3:_="">
    <xsd:import namespace="6c8ade31-da00-4660-8e20-33fdee1680bd"/>
    <xsd:import namespace="a7d41580-a8ee-402b-8dfe-f88e5ebe88b5"/>
    <xsd:element name="properties">
      <xsd:complexType>
        <xsd:sequence>
          <xsd:element name="documentManagement">
            <xsd:complexType>
              <xsd:all>
                <xsd:element ref="ns1:ceddd298b65240b6a3a851f4b12c4614" minOccurs="0"/>
                <xsd:element ref="ns1:TaxCatchAll" minOccurs="0"/>
                <xsd:element ref="ns1:TaxCatchAllLabel" minOccurs="0"/>
                <xsd:element ref="ns1:TaxKeywordTaxHTField" minOccurs="0"/>
                <xsd:element ref="ns1:ac0dd78667084069ba9a7fed27907383" minOccurs="0"/>
                <xsd:element ref="ns1:cc10842d4b8241f584833c53195dc01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ade31-da00-4660-8e20-33fdee1680bd" elementFormDefault="qualified">
    <xsd:import namespace="http://schemas.microsoft.com/office/2006/documentManagement/types"/>
    <xsd:import namespace="http://schemas.microsoft.com/office/infopath/2007/PartnerControls"/>
    <xsd:element name="ceddd298b65240b6a3a851f4b12c4614" ma:index="8" ma:taxonomy="true" ma:internalName="ceddd298b65240b6a3a851f4b12c4614" ma:taxonomyFieldName="ADAInfoType" ma:displayName="Information Type" ma:indexed="true" ma:default="" ma:fieldId="{ceddd298-b652-40b6-a3a8-51f4b12c4614}" ma:sspId="975718fd-5203-40f4-9090-782adc176dc9" ma:termSetId="60abc4bf-6cde-4bef-a054-b07ec791978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06d2aaf-9494-47df-8dee-1c79a6ab009f}" ma:internalName="TaxCatchAll" ma:showField="CatchAllData" ma:web="a7d41580-a8ee-402b-8dfe-f88e5ebe88b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6d2aaf-9494-47df-8dee-1c79a6ab009f}" ma:internalName="TaxCatchAllLabel" ma:readOnly="true" ma:showField="CatchAllDataLabel" ma:web="a7d41580-a8ee-402b-8dfe-f88e5ebe88b5">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4" nillable="true" ma:taxonomy="true" ma:internalName="ac0dd78667084069ba9a7fed27907383" ma:taxonomyFieldName="ADADivision" ma:displayName="Division" ma:indexed="true" ma:default="2;#Practice Institute|87e39726-db5a-428c-9cdf-a04852e4e140" ma:fieldId="{ac0dd786-6708-4069-ba9a-7fed27907383}" ma:sspId="975718fd-5203-40f4-9090-782adc176dc9"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6" nillable="true" ma:taxonomy="true" ma:internalName="cc10842d4b8241f584833c53195dc016" ma:taxonomyFieldName="ADADepartment" ma:displayName="Department" ma:indexed="true" ma:default="" ma:fieldId="{cc10842d-4b82-41f5-8483-3c53195dc016}" ma:sspId="975718fd-5203-40f4-9090-782adc176dc9" ma:termSetId="655c8b02-8ee0-42c0-a84e-4690684d60d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d41580-a8ee-402b-8dfe-f88e5ebe88b5"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27A28-8DA9-479A-9575-E63750A80909}">
  <ds:schemaRefs>
    <ds:schemaRef ds:uri="http://schemas.microsoft.com/sharepoint/v3/contenttype/forms"/>
  </ds:schemaRefs>
</ds:datastoreItem>
</file>

<file path=customXml/itemProps2.xml><?xml version="1.0" encoding="utf-8"?>
<ds:datastoreItem xmlns:ds="http://schemas.openxmlformats.org/officeDocument/2006/customXml" ds:itemID="{E1C04210-0A01-428A-A4AB-6DEEF08A18CE}">
  <ds:schemaRefs>
    <ds:schemaRef ds:uri="http://schemas.microsoft.com/office/2006/metadata/properties"/>
    <ds:schemaRef ds:uri="http://schemas.microsoft.com/office/infopath/2007/PartnerControls"/>
    <ds:schemaRef ds:uri="6c8ade31-da00-4660-8e20-33fdee1680bd"/>
    <ds:schemaRef ds:uri="a7d41580-a8ee-402b-8dfe-f88e5ebe88b5"/>
  </ds:schemaRefs>
</ds:datastoreItem>
</file>

<file path=customXml/itemProps3.xml><?xml version="1.0" encoding="utf-8"?>
<ds:datastoreItem xmlns:ds="http://schemas.openxmlformats.org/officeDocument/2006/customXml" ds:itemID="{CB96D8E5-6D9B-4744-8E66-729093A5B7AE}">
  <ds:schemaRefs>
    <ds:schemaRef ds:uri="Microsoft.SharePoint.Taxonomy.ContentTypeSync"/>
  </ds:schemaRefs>
</ds:datastoreItem>
</file>

<file path=customXml/itemProps4.xml><?xml version="1.0" encoding="utf-8"?>
<ds:datastoreItem xmlns:ds="http://schemas.openxmlformats.org/officeDocument/2006/customXml" ds:itemID="{70E6C07C-F3A0-461D-95FE-0C39724F62C3}">
  <ds:schemaRefs>
    <ds:schemaRef ds:uri="http://schemas.microsoft.com/sharepoint/events"/>
  </ds:schemaRefs>
</ds:datastoreItem>
</file>

<file path=customXml/itemProps5.xml><?xml version="1.0" encoding="utf-8"?>
<ds:datastoreItem xmlns:ds="http://schemas.openxmlformats.org/officeDocument/2006/customXml" ds:itemID="{F329EB26-74DB-4D58-AC6F-2A7624D3B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ade31-da00-4660-8e20-33fdee1680bd"/>
    <ds:schemaRef ds:uri="a7d41580-a8ee-402b-8dfe-f88e5ebe8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4BC4343-A6C4-4D3D-A89D-8D2E1AB92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10728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Pokorny</dc:creator>
  <cp:keywords/>
  <dc:description/>
  <cp:lastModifiedBy>Wiegman, Jenn</cp:lastModifiedBy>
  <cp:revision>2</cp:revision>
  <dcterms:created xsi:type="dcterms:W3CDTF">2022-09-19T19:28:00Z</dcterms:created>
  <dcterms:modified xsi:type="dcterms:W3CDTF">2022-09-19T19:28:00Z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0x0101002103F21F9513D04D98FE1FBF67229DC50100CBE4E7D22D55384ABFAB1DBDA05A6488</vt:lpwstr>
  </property>
  <property fmtid="{D5CDD505-2E9C-101B-9397-08002B2CF9AE}" pid="3" name="TaxKeyword">
    <vt:lpwstr/>
  </property>
  <property fmtid="{D5CDD505-2E9C-101B-9397-08002B2CF9AE}" pid="4" name="ADADivision">
    <vt:lpwstr>2;#Practice Institute|87e39726-db5a-428c-9cdf-a04852e4e140</vt:lpwstr>
  </property>
  <property fmtid="{D5CDD505-2E9C-101B-9397-08002B2CF9AE}" pid="5" name="ADADepartment">
    <vt:lpwstr>8;#Center for Dental Benefits, Coding, ＆ Quality|8e64e950-e65b-4c6e-a993-f81dcc2ac970</vt:lpwstr>
  </property>
  <property fmtid="{D5CDD505-2E9C-101B-9397-08002B2CF9AE}" pid="6" name="ADAInfoType">
    <vt:lpwstr>1345;#Brief|aca1d96d-3831-416f-a5ac-7b05c0dbfbe0</vt:lpwstr>
  </property>
  <property fmtid="{D5CDD505-2E9C-101B-9397-08002B2CF9AE}" pid="7" name="_dlc_DocIdItemGuid">
    <vt:lpwstr>ce1066b9-32a1-4749-979a-1cf270861064</vt:lpwstr>
  </property>
</Properties>
</file>